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Clift Station Cemetery in the Court Land and Cemetery Records</w:t>
      </w:r>
    </w:p>
    <w:p>
      <w:pPr>
        <w:pStyle w:val="Subtitle"/>
      </w:pPr>
      <w:r>
        <w:t>The burial dispute of 1915 and 1916 and the later record of the dead</w:t>
      </w:r>
    </w:p>
    <w:p>
      <w:pPr>
        <w:pStyle w:val="Heading1"/>
      </w:pPr>
      <w:r>
        <w:t>The burial stopped</w:t>
      </w:r>
    </w:p>
    <w:p>
      <w:r>
        <w:t>On Tuesday, July 27, 1915, Isaac Moore went to the cemetery near Clift Station to bury his daughter. She had died that day. According to the complaint filed in his name and those of other residents, Charles Barrows stopped Moore and the people helping him. The complaint identified Barrows as a representative of the defendants who claimed the land. Moore, it said, had no place to bury his daughter.</w:t>
      </w:r>
      <w:r>
        <w:rPr>
          <w:sz w:val="18"/>
          <w:vertAlign w:val="superscript"/>
        </w:rPr>
        <w:t>1</w:t>
      </w:r>
    </w:p>
    <w:p>
      <w:r>
        <w:t>The complaint asked the court to require access to the cemetery or removal of the fence, and to prevent interference with its use. Moore's daughter was the immediate concern, but the request extended to other Black residents of the community and their use of the ground.</w:t>
      </w:r>
      <w:r>
        <w:rPr>
          <w:sz w:val="18"/>
          <w:vertAlign w:val="superscript"/>
        </w:rPr>
        <w:t>1</w:t>
      </w:r>
    </w:p>
    <w:p>
      <w:r>
        <w:t>Three other men signed the statements that accompanied Moore's complaint: Bill Pugh, Scott Ebster and W. A. Beck. Their names survive in both typing and handwriting. The caption had been altered, with two typed names crossed out and Beck's added by hand. The four signatures recur beneath the oaths. The papers preserve the changes without explaining why they were made.</w:t>
      </w:r>
      <w:r>
        <w:rPr>
          <w:sz w:val="18"/>
          <w:vertAlign w:val="superscript"/>
        </w:rPr>
        <w:t>2</w:t>
      </w:r>
    </w:p>
    <w:p>
      <w:r>
        <w:t>The men qualified the history they asked the court to accept. They swore to their own knowledge of events within the last four years. For earlier events, they said, they believed the allegations to be true after making inquiries of people who claimed to know. This distinction was written into the verification itself. The complaint reached back more than twenty years, beyond the period covered by that statement of personal knowledge. Its older history would require the accounts of other people.</w:t>
      </w:r>
      <w:r>
        <w:rPr>
          <w:sz w:val="18"/>
          <w:vertAlign w:val="superscript"/>
        </w:rPr>
        <w:t>2</w:t>
      </w:r>
    </w:p>
    <w:p>
      <w:r>
        <w:t>The expenses of bringing the case also entered the record. In a separate statement, the four declared that “owing to our poverty we are not able to bear the expense of the suit” they were about to commence. They swore that they lived in Hamilton County and believed themselves entitled to the relief they sought. Beneath this statement came their signatures again and the notary's certification, dated July 27, 1915.</w:t>
      </w:r>
      <w:r>
        <w:rPr>
          <w:sz w:val="18"/>
          <w:vertAlign w:val="superscript"/>
        </w:rPr>
        <w:t>2</w:t>
      </w:r>
    </w:p>
    <w:p>
      <w:r>
        <w:t>Another oath addressed the security for an injunction bond. They described themselves as “colored people of very small or no means” and said they had no resources or property they could use to obtain that security. This statement, too, bears the four signatures and a July 27 certification. Alongside their claim to a place of burial, the papers placed before the court their stated inability to bear the financial requirements of seeking its protection.</w:t>
      </w:r>
      <w:r>
        <w:rPr>
          <w:sz w:val="18"/>
          <w:vertAlign w:val="superscript"/>
        </w:rPr>
        <w:t>3</w:t>
      </w:r>
    </w:p>
    <w:p>
      <w:r>
        <w:t>The original bill's cover bears a filing stamp for July 28, 1915. At 9:10 that morning, Chancellor W. B. Garvin addressed an instruction to the clerk and master in Chattanooga. Upon Moore's giving bond, an injunction was to restrain the defendants from preventing him from burying his daughter's body in the land described in the bill. Garvin wrote a condition into that permission. If the injunction were dissolved or the bill dismissed, Moore was to remove the body and pay the costs and damages the court might award.</w:t>
      </w:r>
      <w:r>
        <w:rPr>
          <w:sz w:val="18"/>
          <w:vertAlign w:val="superscript"/>
        </w:rPr>
        <w:t>4</w:t>
      </w:r>
      <w:r>
        <w:rPr>
          <w:sz w:val="18"/>
          <w:vertAlign w:val="superscript"/>
        </w:rPr>
        <w:t>,</w:t>
      </w:r>
      <w:r>
        <w:rPr>
          <w:sz w:val="18"/>
          <w:vertAlign w:val="superscript"/>
        </w:rPr>
        <w:t>5</w:t>
      </w:r>
    </w:p>
    <w:p>
      <w:r>
        <w:t>The writ addressed Evans, Montague and Barrows. It described the tract beside the Boulevard and railway and named it the “Colored Cemetery on Lookout Mountain.” The clerk's paper thus carried both the command against interference and the geographic description of the ground where Moore sought to bury his daughter.</w:t>
      </w:r>
      <w:r>
        <w:rPr>
          <w:sz w:val="18"/>
          <w:vertAlign w:val="superscript"/>
        </w:rPr>
        <w:t>6</w:t>
      </w:r>
    </w:p>
    <w:p>
      <w:r>
        <w:t>That condition would remain part of the case after the immediate burial question had been answered. For now, the order opened a way to proceed. Moore later testified under oath that he had taken his daughter to the cemetery near Clift Station and that Barrows had stopped them, saying he acted for H. Clay Evans. Asked whether he had ever buried her there, Moore answered, “Yes sir, after the injunction.”</w:t>
      </w:r>
      <w:r>
        <w:rPr>
          <w:sz w:val="18"/>
          <w:vertAlign w:val="superscript"/>
        </w:rPr>
        <w:t>7</w:t>
      </w:r>
    </w:p>
    <w:p>
      <w:r>
        <w:t>The complaint, the order and the testimony record different stages of the same dispute. One states what the complainants alleged had happened and what they wanted the court to do. One directs the temporary relief. The last supplies Moore's account that the burial occurred. His daughter's personal name is absent from this page of testimony, although the questions establish the date of her death and the place where he said he buried her.</w:t>
      </w:r>
      <w:r>
        <w:rPr>
          <w:sz w:val="18"/>
          <w:vertAlign w:val="superscript"/>
        </w:rPr>
        <w:t>7</w:t>
      </w:r>
    </w:p>
    <w:p>
      <w:r>
        <w:t>The case continued. To explain why they claimed the right to use the cemetery, the residents would have to describe a history that began before this daughter's death. They did so through earlier burials, family relationships and the changing roads around the ground.</w:t>
      </w:r>
    </w:p>
    <w:p>
      <w:pPr>
        <w:pStyle w:val="Heading1"/>
      </w:pPr>
      <w:r>
        <w:t>Through the gate</w:t>
      </w:r>
    </w:p>
    <w:p>
      <w:r>
        <w:t>On cross-examination, Moore was asked whose permission he had obtained. Before Barrows told him to keep out, he said, he had received permission from no particular person. The officer later told him to go ahead and bury his daughter, and to report any interference. Moore's account distinguished that direction under the injunction from permission obtained before the dispute.</w:t>
      </w:r>
      <w:r>
        <w:rPr>
          <w:sz w:val="18"/>
          <w:vertAlign w:val="superscript"/>
        </w:rPr>
        <w:t>8</w:t>
      </w:r>
    </w:p>
    <w:p>
      <w:r>
        <w:t>The questions turned to the fence. There was one, Moore said, but it did not run all the way around the cemetery. Had he torn any of it down to get in? He answered that he had not. Asked how he had passed the fence, he described their route: “We went down the boulevard to the gate and then back up to the cemetery.”</w:t>
      </w:r>
      <w:r>
        <w:rPr>
          <w:sz w:val="18"/>
          <w:vertAlign w:val="superscript"/>
        </w:rPr>
        <w:t>9</w:t>
      </w:r>
    </w:p>
    <w:p>
      <w:r>
        <w:t>The questioner called it the gate into Barrows's pasture field. Moore answered, “Well he pastures in there.” He did not claim that the entire field belonged to the cemetery. His answers placed the graves within a larger area being used for another purpose. Reaching them meant passing through its gate.</w:t>
      </w:r>
      <w:r>
        <w:rPr>
          <w:sz w:val="18"/>
          <w:vertAlign w:val="superscript"/>
        </w:rPr>
        <w:t>9</w:t>
      </w:r>
    </w:p>
    <w:p>
      <w:r>
        <w:t>The examination then narrowed from the field to his daughter's grave. Asked whether it lay as far south as any grave there, Moore said, “About, yes sir.” Asked whether it lay as far east, he replied, “It is more on the south side.” The next question proposed a fence that would enclose all the existing graves without taking in vacant ground. Within that enclosure, would his daughter's grave be in the southeast corner? “Yes sir,” he answered.</w:t>
      </w:r>
      <w:r>
        <w:rPr>
          <w:sz w:val="18"/>
          <w:vertAlign w:val="superscript"/>
        </w:rPr>
        <w:t>10</w:t>
      </w:r>
    </w:p>
    <w:p>
      <w:r>
        <w:t>That fence was hypothetical. The question supplied a way to describe the grave's position among the others; Moore's answer did not establish that such a fence had been built. Nor did he identify a marked southern boundary. When asked about a line showing the edge of the burial ground on that side, he said he did not think there was one.</w:t>
      </w:r>
      <w:r>
        <w:rPr>
          <w:sz w:val="18"/>
          <w:vertAlign w:val="superscript"/>
        </w:rPr>
        <w:t>10</w:t>
      </w:r>
    </w:p>
    <w:p>
      <w:r>
        <w:t>One question sought a distance. How far had he gone through the field, from the gate up to the place where the grave was dug? “About fifty yards I suppose.” His estimate connects a particular burial to an entrance and a route. It does not tell us where that gate stood on today's road, or whether the distance followed the path they took. It preserves something more limited, but still useful: the father's recollection of how far inside the field his daughter's grave lay.</w:t>
      </w:r>
      <w:r>
        <w:rPr>
          <w:sz w:val="18"/>
          <w:vertAlign w:val="superscript"/>
        </w:rPr>
        <w:t>11</w:t>
      </w:r>
    </w:p>
    <w:p>
      <w:r>
        <w:t>Moore was also asked who looked after the ground. Did a church, a company or anybody else manage it? “Nobody only the citizens on the mountain.” He named no church in that answer. The care he described belonged to the residents, whose authority to continue using the cemetery was now being contested.</w:t>
      </w:r>
      <w:r>
        <w:rPr>
          <w:sz w:val="18"/>
          <w:vertAlign w:val="superscript"/>
        </w:rPr>
        <w:t>12</w:t>
      </w:r>
    </w:p>
    <w:p>
      <w:r>
        <w:t>His cross-examination ended with a question about the bodies already buried there. Had Barrows, or anybody else Moore knew of, disturbed them? “No sir.” The answer records the limit of his knowledge when he testified. It leaves open what happened after the case ended, including the fate of the daughter he had buried under the injunction.</w:t>
      </w:r>
      <w:r>
        <w:rPr>
          <w:sz w:val="18"/>
          <w:vertAlign w:val="superscript"/>
        </w:rPr>
        <w:t>11</w:t>
      </w:r>
    </w:p>
    <w:p>
      <w:r>
        <w:t>Moore had lived on the mountain for only a little over four years. His account located a recent grave and described access to it. Other residents could speak about the ground before the field and its fence, and about burials made long before his family arrived.</w:t>
      </w:r>
      <w:r>
        <w:rPr>
          <w:sz w:val="18"/>
          <w:vertAlign w:val="superscript"/>
        </w:rPr>
        <w:t>13</w:t>
      </w:r>
    </w:p>
    <w:p>
      <w:pPr>
        <w:pStyle w:val="Heading1"/>
      </w:pPr>
      <w:r>
        <w:t>A place remembered</w:t>
      </w:r>
    </w:p>
    <w:p>
      <w:r>
        <w:t>The cemetery entered the court record through people who had already used it.</w:t>
      </w:r>
    </w:p>
    <w:p>
      <w:r>
        <w:t>Paul Thomas said he had buried his wife there in 1900. The page of testimony gives his name, his age and his years on the mountain. It does not give hers. She survives in that passage through her relationship to the man answering the questions, and through the place where he said he had buried her.</w:t>
      </w:r>
      <w:r>
        <w:rPr>
          <w:sz w:val="18"/>
          <w:vertAlign w:val="superscript"/>
        </w:rPr>
        <w:t>14</w:t>
      </w:r>
    </w:p>
    <w:p>
      <w:r>
        <w:t>Isaac Moore Sr. remembered his niece's burial in May 1914. He had been on the mountain for about four years, he said. During that time other burials had taken place. His niece's name is missing from that answer too.</w:t>
      </w:r>
      <w:r>
        <w:rPr>
          <w:sz w:val="18"/>
          <w:vertAlign w:val="superscript"/>
        </w:rPr>
        <w:t>15</w:t>
      </w:r>
    </w:p>
    <w:p>
      <w:r>
        <w:t>E. H. Dial had a longer memory. He was forty-six, he said, and had lived on the mountain for twenty-six years. A child of his had been buried in the cemetery about twenty-three years before he gave his testimony. He identified himself as a minister and said he had dug graves for white people and Black people.</w:t>
      </w:r>
      <w:r>
        <w:rPr>
          <w:sz w:val="18"/>
          <w:vertAlign w:val="superscript"/>
        </w:rPr>
        <w:t>16</w:t>
      </w:r>
    </w:p>
    <w:p>
      <w:r>
        <w:t>The answers preserve a wife buried in 1900, a niece in 1914 and a child more than two decades before the case. Each relationship opens a path into a family. The examinations did not always ask for the names that would allow a later researcher to follow it.</w:t>
      </w:r>
    </w:p>
    <w:p>
      <w:r>
        <w:t>For Moore, the daughter whose burial brought him to court was not the first connection to this ground. His niece was already there. For Thomas, knowing the cemetery meant knowing where he had buried his wife. For Dial it included his own child's burial and his work at other people's graves. Their testimony joined the public claim to family experience, even where the formal claim did not secure the result they sought.</w:t>
      </w:r>
    </w:p>
    <w:p>
      <w:r>
        <w:t>Thomas had helped with other burials too. He could not give a total for the cemetery, but he said he had buried many people there. Asked whether he had obtained permission to bury his wife in 1900, he answered that he had not. The questions required him to explain a practice he had already followed.</w:t>
      </w:r>
      <w:r>
        <w:rPr>
          <w:sz w:val="18"/>
          <w:vertAlign w:val="superscript"/>
        </w:rPr>
        <w:t>14</w:t>
      </w:r>
    </w:p>
    <w:p>
      <w:r>
        <w:t>On cross-examination, he was asked why he thought he had a right to bury in the place they called the colored cemetery. “People was buried there when I first came there,” he answered. His explanation rested on the use he had found when he arrived on the mountain. He did not point to a conveyance. Asked about marks, a fence or deeds showing the southern extent, he said he had never seen a fence around the cemetery or any deeds.</w:t>
      </w:r>
      <w:r>
        <w:rPr>
          <w:sz w:val="18"/>
          <w:vertAlign w:val="superscript"/>
        </w:rPr>
        <w:t>17</w:t>
      </w:r>
    </w:p>
    <w:p>
      <w:r>
        <w:t>He could describe the approach to the ground. It lay in the fork between the railway and the Boulevard, to the left going up the mountain and to the right coming down. When the examiner pressed him on whether those two lines supplied all its boundaries, Thomas distinguished the roads from the land: other land lay on the south side. He knew where people went to bury, but his answers supplied no marked southern line.</w:t>
      </w:r>
      <w:r>
        <w:rPr>
          <w:sz w:val="18"/>
          <w:vertAlign w:val="superscript"/>
        </w:rPr>
        <w:t>17</w:t>
      </w:r>
    </w:p>
    <w:p>
      <w:r>
        <w:t>The examination moved from that boundary to distances. Thomas estimated half a mile between his current home and the cemetery. From the place where he had lived in 1900, the year of his wife's burial, it had been about three blocks. The next question introduced Forest Hills Cemetery. Asked how far it was from Lookout Mountain, he did not claim an exact measure. Down the old road, he guessed, it was about two and a half miles.</w:t>
      </w:r>
      <w:r>
        <w:rPr>
          <w:sz w:val="18"/>
          <w:vertAlign w:val="superscript"/>
        </w:rPr>
        <w:t>17</w:t>
      </w:r>
    </w:p>
    <w:p>
      <w:r>
        <w:t>Forest Hills appeared in Dial's cross-examination as well. Did Black people bury there? Yes, he said. Was it a good cemetery? He agreed. Was it at the foot of Lookout Mountain, with a good road down the mountain? He agreed with those descriptions too. The questions placed another burial ground within the argument over continued use of Clift.</w:t>
      </w:r>
      <w:r>
        <w:rPr>
          <w:sz w:val="18"/>
          <w:vertAlign w:val="superscript"/>
        </w:rPr>
        <w:t>18</w:t>
      </w:r>
    </w:p>
    <w:p>
      <w:r>
        <w:t>That exchange did not ask what a burial at Forest Hills would cost, who would arrange transport, or how a family would choose between the two places. It established the alternative that the examiner put to the witness and the answers Dial gave. His agreement that Forest Hills was accessible did not withdraw his testimony about the cemetery on the mountain.</w:t>
      </w:r>
      <w:r>
        <w:rPr>
          <w:sz w:val="18"/>
          <w:vertAlign w:val="superscript"/>
        </w:rPr>
        <w:t>18</w:t>
      </w:r>
    </w:p>
    <w:p>
      <w:r>
        <w:t>The cross-examination ended by asking whether he had ever seen a deed for that cemetery. He had not. On redirect, the questions returned to his own experience: did he have anyone buried there, and had he buried other people? He recalled his child and estimated that he had buried fifty people or more. The deed question and the burial questions drew different kinds of knowledge from the same witness.</w:t>
      </w:r>
      <w:r>
        <w:rPr>
          <w:sz w:val="18"/>
          <w:vertAlign w:val="superscript"/>
        </w:rPr>
        <w:t>16</w:t>
      </w:r>
      <w:r>
        <w:rPr>
          <w:sz w:val="18"/>
          <w:vertAlign w:val="superscript"/>
        </w:rPr>
        <w:t>,</w:t>
      </w:r>
      <w:r>
        <w:rPr>
          <w:sz w:val="18"/>
          <w:vertAlign w:val="superscript"/>
        </w:rPr>
        <w:t>18</w:t>
      </w:r>
    </w:p>
    <w:p>
      <w:r>
        <w:t>Bill Pugh's examination begins on the same sheet where Thomas signed his testimony. Pugh said he had lived on Lookout Mountain for about twelve years, regularly. The examiner placed the cemetery just south of Clift Station and asked whether he knew it. He did.</w:t>
      </w:r>
      <w:r>
        <w:rPr>
          <w:sz w:val="18"/>
          <w:vertAlign w:val="superscript"/>
        </w:rPr>
        <w:t>19</w:t>
      </w:r>
    </w:p>
    <w:p>
      <w:r>
        <w:t>The next question asked about people buried there, when they had been buried and about how many. “Yes sir, I know of several, some last year and on two or three years back,” Pugh answered. His closing oath is dated January 18, 1916. Read against that date, his answer points to burials in 1915 and approximately 1913 or 1914. He supplied no names, and the answer does not identify which burials he shared in memory with the other witnesses.</w:t>
      </w:r>
      <w:r>
        <w:rPr>
          <w:sz w:val="18"/>
          <w:vertAlign w:val="superscript"/>
        </w:rPr>
        <w:t>19</w:t>
      </w:r>
    </w:p>
    <w:p>
      <w:r>
        <w:t>Scott Ebster also recalled several people buried there. He said he had known the cemetery, and burial there, ever since he had been there. On cross-examination, he acknowledged that he could not give a total. The brief answers preserve his familiarity with the place without identifying the people he remembered.</w:t>
      </w:r>
      <w:r>
        <w:rPr>
          <w:sz w:val="18"/>
          <w:vertAlign w:val="superscript"/>
        </w:rPr>
        <w:t>20</w:t>
      </w:r>
    </w:p>
    <w:p>
      <w:r>
        <w:t>The questions then turned to its surroundings. Had it been out in the woods, without a fence, when he first knew it? Yes, Ebster said. Was it now inside a large field extending down the Boulevard toward Georgia? Again he answered yes. His oath, like Pugh's, is dated January 18, 1916. Those answers describe a change around the burial ground within his memory, although they give no date for the clearing or the enclosure. He gave no measurements connecting that field to the outermost graves.</w:t>
      </w:r>
      <w:r>
        <w:rPr>
          <w:sz w:val="18"/>
          <w:vertAlign w:val="superscript"/>
        </w:rPr>
        <w:t>20</w:t>
      </w:r>
    </w:p>
    <w:p>
      <w:r>
        <w:t xml:space="preserve">An earlier newspaper column preserves a different journey for a body expected from the mountain. On May 29, 1887, the </w:t>
      </w:r>
      <w:r>
        <w:rPr>
          <w:i/>
        </w:rPr>
        <w:t>Chattanooga Commercial</w:t>
      </w:r>
      <w:r>
        <w:t xml:space="preserve"> published “Uncle Josh Talks,” a column whose writer moved among local people, streetcars and the season's strawberries. One passage recalled coming down Lookout Mountain on the previous Sabbath. Rain had turned to hail by the time he reached the foot. Mud lay between the incline and the street railway.</w:t>
      </w:r>
      <w:r>
        <w:rPr>
          <w:sz w:val="18"/>
          <w:vertAlign w:val="superscript"/>
        </w:rPr>
        <w:t>21</w:t>
      </w:r>
    </w:p>
    <w:p>
      <w:r>
        <w:t>The writer found a hackman to take him to the streetcar line, where a crowd sheltered at a store. The driver would not continue into the city. He was attending a funeral and expected the body to arrive from the mountaintop on an incline car. It would then be put in a hearse and taken to what the column called the colored cemetery. The writer's story turned back to the crowded streetcar and its passengers. He did not name the person who had died, the family, or the burial ground.</w:t>
      </w:r>
      <w:r>
        <w:rPr>
          <w:sz w:val="18"/>
          <w:vertAlign w:val="superscript"/>
        </w:rPr>
        <w:t>21</w:t>
      </w:r>
    </w:p>
    <w:p>
      <w:r>
        <w:t>The account follows an expected funeral journey down the mountain. It does not record the body's arrival or a completed interment, and its unnamed destination cannot be assigned to Clift. Its relevance is the movement it describes: a funeral involving the mountain could lead to burial elsewhere. A mountain address or death place, by itself, cannot place a person among the graves the later witnesses remembered.</w:t>
      </w:r>
    </w:p>
    <w:p>
      <w:r>
        <w:t>The cemetery's surroundings had changed within the witnesses' memories. Dial described a wood road between white and Black burial areas before the boulevard was put through. The distinction depended on a remembered landscape: where the road had been, which ground people used, where they had dug. These recollections are valuable without being precise enough to draw a modern parcel line. A witness's familiarity with graves and a surveyor's description of a boundary answer different questions.</w:t>
      </w:r>
      <w:r>
        <w:rPr>
          <w:sz w:val="18"/>
          <w:vertAlign w:val="superscript"/>
        </w:rPr>
        <w:t>16</w:t>
      </w:r>
    </w:p>
    <w:p>
      <w:r>
        <w:t>Other witnesses reached farther back. Mrs. W. J. Drinnon, in her July 1915 affidavit, remembered the burial of Mrs. Carruth's father about forty-five years earlier. Her husband, a minister, had preached the funeral. She also recalled Black burials going back about forty years, including the wife or daughter of a man she called Uncle Peter Westfield.</w:t>
      </w:r>
      <w:r>
        <w:rPr>
          <w:sz w:val="18"/>
          <w:vertAlign w:val="superscript"/>
        </w:rPr>
        <w:t>22</w:t>
      </w:r>
    </w:p>
    <w:p>
      <w:r>
        <w:t>The uncertainty belongs in the account. Her words do not identify which woman was buried, and they do not say Peter himself was buried there. They supply a family connection to pursue. They also complicate any neat starting date for the cemetery. A date calculated from an old recollection must carry the recollection with it.</w:t>
      </w:r>
    </w:p>
    <w:p>
      <w:r>
        <w:t>G. W. Drinnon also described use on both sides. In an affidavit dated July 27, 1915, he said he had been born on the mountain in 1871 and had lived there since. The ground just south of Clift Station had served as a cemetery for as long as he could remember. He distinguished the east side, called the colored cemetery, from land on the west, and recalled mountain residents, white and Black, using the ground for burials. His statement supplies another witness to that broader landscape. It gives no measured boundary between the burial areas.</w:t>
      </w:r>
      <w:r>
        <w:rPr>
          <w:sz w:val="18"/>
          <w:vertAlign w:val="superscript"/>
        </w:rPr>
        <w:t>23</w:t>
      </w:r>
    </w:p>
    <w:p>
      <w:r>
        <w:t>Dr. A. A. Nefe gave his account in two forms. In July 1915 he signed an affidavit describing the cemetery between the railway and the Boulevard at Clift Station. He recalled burials over more than twenty years and said he knew of no objection to them. The Black and white burial areas had formerly been contiguous, he said; the Boulevard now separated them.</w:t>
      </w:r>
      <w:r>
        <w:rPr>
          <w:sz w:val="18"/>
          <w:vertAlign w:val="superscript"/>
        </w:rPr>
        <w:t>24</w:t>
      </w:r>
    </w:p>
    <w:p>
      <w:r>
        <w:t>On November 30, at the Clerk and Master's office, Nefe answered questions in a deposition. He gave his age as sixty-two and said he had lived on Lookout Mountain for about twenty-four years. The examiner described a small tract southwest of the railway and east of the road, just south of their intersection at Clift Station. Nefe agreed that this was the cemetery he knew.</w:t>
      </w:r>
      <w:r>
        <w:rPr>
          <w:sz w:val="18"/>
          <w:vertAlign w:val="superscript"/>
        </w:rPr>
        <w:t>25</w:t>
      </w:r>
    </w:p>
    <w:p>
      <w:r>
        <w:t>Asked how long Black residents had used it, he began by saying he did not know how long. He could nevertheless give a point within his own experience: it was already in use when he first came to the mountain in the spring of 1891. He was also asked about markers and tombstones. “There are markers of stone and wood,” he answered.</w:t>
      </w:r>
      <w:r>
        <w:rPr>
          <w:sz w:val="18"/>
          <w:vertAlign w:val="superscript"/>
        </w:rPr>
        <w:t>25</w:t>
      </w:r>
    </w:p>
    <w:p>
      <w:r>
        <w:t>The wooden markers broaden the picture left by the later transcription of three stones. Nefe supplied neither their inscriptions nor their number. His answer records a kind of grave marker that the WPA leaf does not preserve by name. It gives no way to identify a particular grave, but it warns against treating the surviving stone names as the whole burial record.</w:t>
      </w:r>
      <w:r>
        <w:rPr>
          <w:sz w:val="18"/>
          <w:vertAlign w:val="superscript"/>
        </w:rPr>
        <w:t>25</w:t>
      </w:r>
    </w:p>
    <w:p>
      <w:r>
        <w:t>The examiner then asked whether Black residents had buried on the tract since 1891 whenever they chose. Nefe said that, so far as he knew, they had. There had been numerous burials. He added a qualification: he did not know whether they had been made with consent. He knew of no objection. His account supports a history of use while leaving the owners' permission unresolved.</w:t>
      </w:r>
      <w:r>
        <w:rPr>
          <w:sz w:val="18"/>
          <w:vertAlign w:val="superscript"/>
        </w:rPr>
        <w:t>25</w:t>
      </w:r>
    </w:p>
    <w:p>
      <w:r>
        <w:t>At the end he denied having an interest in the case and identified himself as white. The signed testimony preserves that description alongside the limits he placed on his knowledge. His profession and years of residence do not make him the physician for any unnamed person buried there. What he supplied was a recollection of the cemetery's use, its position and its visible markers.</w:t>
      </w:r>
      <w:r>
        <w:rPr>
          <w:sz w:val="18"/>
          <w:vertAlign w:val="superscript"/>
        </w:rPr>
        <w:t>25</w:t>
      </w:r>
    </w:p>
    <w:p>
      <w:r>
        <w:t>Seven years before the lawsuit, a city directory had gathered another record of the mountain's people. G. M. Connelly's 1908 volume devoted a separate section to Lookout Mountain. It listed E. H. Dial, Paul Thomas, Mrs. W. J. Drinnon and Dr. A. A. Nefe, names that would also appear in the cemetery papers. Lizzie Dumas and Alexander Hunt had entries on the same page. The shared names and locality make these strong candidates for comparison with the court and deed records, although the brief listings do not establish every identity.</w:t>
      </w:r>
      <w:r>
        <w:rPr>
          <w:sz w:val="18"/>
          <w:vertAlign w:val="superscript"/>
        </w:rPr>
        <w:t>26</w:t>
      </w:r>
    </w:p>
    <w:p>
      <w:r>
        <w:t>The directory placed a small racial designation beside some names. Its abbreviation key defined the letter c in parentheses as colored. Dial, Thomas and Dumas carried that designation. The entries supplied no street addresses for them. They recorded people as members of a mountain community without telling a later reader which house each occupied or where any of them would be buried.</w:t>
      </w:r>
      <w:r>
        <w:rPr>
          <w:sz w:val="18"/>
          <w:vertAlign w:val="superscript"/>
        </w:rPr>
        <w:t>26</w:t>
      </w:r>
    </w:p>
    <w:p>
      <w:r>
        <w:t>One entry requires particular care: Ike Moore. The name invites comparison with Isaac Moore Sr., but the chronology complicates it. The directory's preface is dated January 1908; in his later court examination, Moore Sr. recalled about four years on the mountain. Those records cannot be joined simply by expanding Ike into Isaac. The directory entry needs a household, relatives or another record that can establish whose name it preserves.</w:t>
      </w:r>
      <w:r>
        <w:rPr>
          <w:sz w:val="18"/>
          <w:vertAlign w:val="superscript"/>
        </w:rPr>
        <w:t>15</w:t>
      </w:r>
      <w:r>
        <w:rPr>
          <w:sz w:val="18"/>
          <w:vertAlign w:val="superscript"/>
        </w:rPr>
        <w:t>,</w:t>
      </w:r>
      <w:r>
        <w:rPr>
          <w:sz w:val="18"/>
          <w:vertAlign w:val="superscript"/>
        </w:rPr>
        <w:t>26</w:t>
      </w:r>
    </w:p>
    <w:p>
      <w:r>
        <w:t>J. G. Burton supplied another kind of familiarity. He said he had lived on the mountain from 1885 to 1900 and kept a store there. He placed the Black cemetery south of Clift Station, southwest of the railway and east of the Boulevard, and remembered burials around 1890 and the years that followed.</w:t>
      </w:r>
      <w:r>
        <w:rPr>
          <w:sz w:val="18"/>
          <w:vertAlign w:val="superscript"/>
        </w:rPr>
        <w:t>27</w:t>
      </w:r>
    </w:p>
    <w:p>
      <w:r>
        <w:t xml:space="preserve">His initials appear in an earlier account of graves near the station. In the August 1890 issue of </w:t>
      </w:r>
      <w:r>
        <w:rPr>
          <w:i/>
        </w:rPr>
        <w:t>Virginia Medical Monthly</w:t>
      </w:r>
      <w:r>
        <w:t>, an unnamed correspondent wrote about Confederate soldiers who had died after treatment at a hospital in the old Lookout House. Temporary boards had marked their burials. The boards had disappeared, and the graves had been neglected. Railway construction had disturbed some remains, the writer reported; these had been given to the Ladies' Confederate Memorial Association for reinterment. Others were said to remain on the mountainside.</w:t>
      </w:r>
      <w:r>
        <w:rPr>
          <w:sz w:val="18"/>
          <w:vertAlign w:val="superscript"/>
        </w:rPr>
        <w:t>28</w:t>
      </w:r>
    </w:p>
    <w:p>
      <w:r>
        <w:t>The article described an effort to care for that ground. J. G. Burton and Dr. Simmonds had been appointed to solicit subscriptions. Alfred Dickey Foy had agreed to donate rustic furniture to be sold for the fund. Capt. J. F. Shipp proposed a fence. There was even a possibility of recovering names: Mr. Crabtree of Chickamauga reportedly had made coffins, and someone intended to ask whether he had kept a memorandum.</w:t>
      </w:r>
      <w:r>
        <w:rPr>
          <w:sz w:val="18"/>
          <w:vertAlign w:val="superscript"/>
        </w:rPr>
        <w:t>28</w:t>
      </w:r>
    </w:p>
    <w:p>
      <w:r>
        <w:t>The appeal recorded offers and intentions. It left the sale of the furniture, construction of the fence and search for the coffin memorandum to be followed in other records.</w:t>
      </w:r>
    </w:p>
    <w:p>
      <w:r>
        <w:t xml:space="preserve">By March 1891, Foy and Burton appeared together in another account of the mountain. The </w:t>
      </w:r>
      <w:r>
        <w:rPr>
          <w:i/>
        </w:rPr>
        <w:t>Chattanooga Evening News</w:t>
      </w:r>
      <w:r>
        <w:t xml:space="preserve"> carried a short column headed “Lookout Mountain Notes.” It described a movement begun by “Master Albert Dickey Foy” to build a union chapel as a memorial near the Confederate cemetery. The newspaper's Albert differed from the journal's Alfred, but the shared Dickey Foy name and cemetery undertaking make a connection likely. The article said the movement was gaining strength.</w:t>
      </w:r>
      <w:r>
        <w:rPr>
          <w:sz w:val="18"/>
          <w:vertAlign w:val="superscript"/>
        </w:rPr>
        <w:t>29</w:t>
      </w:r>
    </w:p>
    <w:p>
      <w:r>
        <w:t>A committee held the fund, with Mr. Burton as chairman. People wishing to subscribe could leave their contributions at his store, near Ross Avenue station. That instruction adds a practical detail to the earlier appeal: readers were told where to take their money. The newspaper did not give a total received, report the furniture sale or describe a completed chapel.</w:t>
      </w:r>
      <w:r>
        <w:rPr>
          <w:sz w:val="18"/>
          <w:vertAlign w:val="superscript"/>
        </w:rPr>
        <w:t>29</w:t>
      </w:r>
    </w:p>
    <w:p>
      <w:r>
        <w:t>The station can be followed onto the 1889 Hopkins atlas. On plate 11, the railway curves below Lookout Mountain House and crosses Ross Avenue. A small yellow building just north of the tracks, on the avenue's west side, is labeled as a depot. Farther up the street, beyond Lookout Avenue, the map uses the name Hermitage Avenue. The map gives the newspaper's station reference a likely position along Ross Avenue. Burton's store remains unidentified on the sheet.</w:t>
      </w:r>
      <w:r>
        <w:rPr>
          <w:sz w:val="18"/>
          <w:vertAlign w:val="superscript"/>
        </w:rPr>
        <w:t>30</w:t>
      </w:r>
    </w:p>
    <w:p>
      <w:r>
        <w:t>The column also mentioned Presbyterians collecting money for a church of their own and parents preparing to seek a schoolhouse. Those were separate proposals in the account. The union chapel's intended position was described only as near the Confederate cemetery. The article supplied no lot number, named no Salem congregation and did not place the chapel at the Black cemetery. Ross Avenue station located Burton's store; it did not locate the proposed building.</w:t>
      </w:r>
      <w:r>
        <w:rPr>
          <w:sz w:val="18"/>
          <w:vertAlign w:val="superscript"/>
        </w:rPr>
        <w:t>29</w:t>
      </w:r>
    </w:p>
    <w:p>
      <w:r>
        <w:t>The store strengthens the connection with the Burton who later made the affidavit. His occupation, period of residence and familiarity with the mountain now have a contemporary newspaper counterpart. The match remains an inference: the 1891 column calls him only Mr. Burton, and neither it nor the journal explicitly identifies him with the 1915 witness. His appearance across these accounts gives us a person to follow through twenty-five years, while the relationship between the burial grounds remains unresolved.</w:t>
      </w:r>
      <w:r>
        <w:rPr>
          <w:sz w:val="18"/>
          <w:vertAlign w:val="superscript"/>
        </w:rPr>
        <w:t>27</w:t>
      </w:r>
      <w:r>
        <w:rPr>
          <w:sz w:val="18"/>
          <w:vertAlign w:val="superscript"/>
        </w:rPr>
        <w:t>,</w:t>
      </w:r>
      <w:r>
        <w:rPr>
          <w:sz w:val="18"/>
          <w:vertAlign w:val="superscript"/>
        </w:rPr>
        <w:t>28</w:t>
      </w:r>
      <w:r>
        <w:rPr>
          <w:sz w:val="18"/>
          <w:vertAlign w:val="superscript"/>
        </w:rPr>
        <w:t>,</w:t>
      </w:r>
      <w:r>
        <w:rPr>
          <w:sz w:val="18"/>
          <w:vertAlign w:val="superscript"/>
        </w:rPr>
        <w:t>29</w:t>
      </w:r>
    </w:p>
    <w:p>
      <w:r>
        <w:t>The two accounts also preserve different forms of action. In 1890 the correspondent described subscriptions, donations and a proposed fence. In 1915 Black residents made affidavits, gave testimony and sought an injunction after a burial was stopped. The legal record is itself evidence of care for the dead. Its witnesses were doing more than supplying details about a disputed tract; they were putting their knowledge of the burial ground into a form the court could consider.</w:t>
      </w:r>
    </w:p>
    <w:p>
      <w:pPr>
        <w:pStyle w:val="Heading1"/>
      </w:pPr>
      <w:r>
        <w:t>The names on the tablets</w:t>
      </w:r>
    </w:p>
    <w:p>
      <w:r>
        <w:t>The 1890 account followed the disturbed remains only as far as the Ladies' Confederate Memorial Association. It said the Association interred them in the Confederate cemetery. It named no soldier whose remains had been moved, gave no date for the transfer and recorded no new grave number.</w:t>
      </w:r>
      <w:r>
        <w:rPr>
          <w:sz w:val="18"/>
          <w:vertAlign w:val="superscript"/>
        </w:rPr>
        <w:t>31</w:t>
      </w:r>
    </w:p>
    <w:p>
      <w:r>
        <w:t>A contemporary description helps identify the cemetery the writer may have meant. The Chattanooga Chamber of Commerce's report for 1889, printed in 1890, placed the Confederate cemetery northeast of the city, just beyond the City Cemetery, and attributed it to the Ladies' Confederate Memorial Association. A monument stood near its eastern boundary. The matching institution and cemetery name make this a plausible destination for the railway remains. The Chamber's description does not itself record their arrival.</w:t>
      </w:r>
      <w:r>
        <w:rPr>
          <w:sz w:val="18"/>
          <w:vertAlign w:val="superscript"/>
        </w:rPr>
        <w:t>32</w:t>
      </w:r>
    </w:p>
    <w:p>
      <w:r>
        <w:t>A public appeal in July 1895 shows how cemetery work reached readers of the Chattanooga newspaper. Shipp signed it as chairman of the Confederate Cemetery Committee. L. T. Dickinson signed as commander of the N. B. Forrest camp, and Nannie H. Dickinson as president of the Chattanooga Ladies' Memorial Association. They asked for funds to prepare the cemetery before the national military park dedication that September, when visitors were expected in the city.</w:t>
      </w:r>
      <w:r>
        <w:rPr>
          <w:sz w:val="18"/>
          <w:vertAlign w:val="superscript"/>
        </w:rPr>
        <w:t>33</w:t>
      </w:r>
    </w:p>
    <w:p>
      <w:r>
        <w:t>The letter said substantial work and expenditure had already gone into the grounds, but much remained. Its longer ambition was to erect historical tablets representing the eleven states whose dead lay there, with a roster giving names and commands. The immediate request was for money to put the ground in order before the visitors arrived. The letter records that sequence of priorities without supplying a list of the buried or identifying any remains from Clift Station.</w:t>
      </w:r>
      <w:r>
        <w:rPr>
          <w:sz w:val="18"/>
          <w:vertAlign w:val="superscript"/>
        </w:rPr>
        <w:t>33</w:t>
      </w:r>
    </w:p>
    <w:p>
      <w:r>
        <w:t>In November, the newspaper reported Shipp's account of progress. Grass had been sown, ground leveled and graves moved to better positions within the cemetery. A pavilion and new fence still required money. The earlier subscriptions had been spent, and Shipp was expected to give the Forrest camp a detailed account of receipts and expenses in December. The article names neither the people whose graves were moved nor an earlier burial place outside the cemetery. It describes work there, not an identified transfer from the mountain.</w:t>
      </w:r>
      <w:r>
        <w:rPr>
          <w:sz w:val="18"/>
          <w:vertAlign w:val="superscript"/>
        </w:rPr>
        <w:t>34</w:t>
      </w:r>
    </w:p>
    <w:p>
      <w:r>
        <w:t xml:space="preserve">The tablets reappear in a later account. In February 1914, </w:t>
      </w:r>
      <w:r>
        <w:rPr>
          <w:i/>
        </w:rPr>
        <w:t>Confederate Veteran</w:t>
      </w:r>
      <w:r>
        <w:t xml:space="preserve"> described Shipp's effort to compile a roster and place the known names on iron tablets. It credited Frances Fort Brown with supplying the funds after an appeal to veterans' camps failed to secure concerted support. Photographs accompanied the article: a group beside the Kentucky tablet and other tablets set along a walk.</w:t>
      </w:r>
      <w:r>
        <w:rPr>
          <w:sz w:val="18"/>
          <w:vertAlign w:val="superscript"/>
        </w:rPr>
        <w:t>35</w:t>
      </w:r>
    </w:p>
    <w:p>
      <w:r>
        <w:t>The names had taken years to assemble. The article said Shipp had begun twenty-three years earlier and had consulted War Department records. A printed roster had been available through the cemetery sexton during the reunion the previous May. Yet the historical tablet reproduced in the article acknowledged a limit: "Individual graves cannot be located."</w:t>
      </w:r>
      <w:r>
        <w:rPr>
          <w:sz w:val="18"/>
          <w:vertAlign w:val="superscript"/>
        </w:rPr>
        <w:t>35</w:t>
      </w:r>
    </w:p>
    <w:p>
      <w:r>
        <w:t>That acknowledgment distinguishes a memorial name from a known grave position. The article also reported that unidentified remains uncovered during construction of buildings and highways had been brought to the cemetery. It did not name Clift Station or identify those remains with the railway discovery described in 1890. Its discussion gives us a record to seek without supplying the missing connection.</w:t>
      </w:r>
      <w:r>
        <w:rPr>
          <w:sz w:val="18"/>
          <w:vertAlign w:val="superscript"/>
        </w:rPr>
        <w:t>35</w:t>
      </w:r>
    </w:p>
    <w:p>
      <w:r>
        <w:t>The roster and its supporting correspondence may show whether Shipp recorded earlier burial places. A list containing only names and military units would leave the question of a mountainside grave unanswered. Remains brought in without a name would require a record of the transfer itself.</w:t>
      </w:r>
    </w:p>
    <w:p>
      <w:r>
        <w:t>The published accounts follow memorial work across nearly a quarter of a century. They do not establish that the later cemetery improvements fulfilled Shipp's proposed fence near Clift Station, or describe work at the Black cemetery whose use the 1915 witnesses defended. The mountain appeal and the later committee reports still require a record that connects their particular undertakings.</w:t>
      </w:r>
      <w:r>
        <w:rPr>
          <w:sz w:val="18"/>
          <w:vertAlign w:val="superscript"/>
        </w:rPr>
        <w:t>31</w:t>
      </w:r>
      <w:r>
        <w:rPr>
          <w:sz w:val="18"/>
          <w:vertAlign w:val="superscript"/>
        </w:rPr>
        <w:t>,</w:t>
      </w:r>
      <w:r>
        <w:rPr>
          <w:sz w:val="18"/>
          <w:vertAlign w:val="superscript"/>
        </w:rPr>
        <w:t>33</w:t>
      </w:r>
      <w:r>
        <w:rPr>
          <w:sz w:val="18"/>
          <w:vertAlign w:val="superscript"/>
        </w:rPr>
        <w:t>,</w:t>
      </w:r>
      <w:r>
        <w:rPr>
          <w:sz w:val="18"/>
          <w:vertAlign w:val="superscript"/>
        </w:rPr>
        <w:t>34</w:t>
      </w:r>
      <w:r>
        <w:rPr>
          <w:sz w:val="18"/>
          <w:vertAlign w:val="superscript"/>
        </w:rPr>
        <w:t>,</w:t>
      </w:r>
      <w:r>
        <w:rPr>
          <w:sz w:val="18"/>
          <w:vertAlign w:val="superscript"/>
        </w:rPr>
        <w:t>35</w:t>
      </w:r>
    </w:p>
    <w:p>
      <w:pPr>
        <w:pStyle w:val="Heading1"/>
      </w:pPr>
      <w:r>
        <w:t>The railway through Bryant land</w:t>
      </w:r>
    </w:p>
    <w:p>
      <w:r>
        <w:t>In August 1888, Anderson Bryant conveyed a railway right of way through land he described as his home place. The deed acknowledged two hundred and fifty dollars paid in cash. Louisa Bryant, identified as his wife, joined in the conveyance. The recipient was the Chattanooga and Lookout Mountain Railway Company, and the deed set out the course and width of its right of way.</w:t>
      </w:r>
      <w:r>
        <w:rPr>
          <w:sz w:val="18"/>
          <w:vertAlign w:val="superscript"/>
        </w:rPr>
        <w:t>36</w:t>
      </w:r>
    </w:p>
    <w:p>
      <w:r>
        <w:t>The description began at Holman Spring. From there it went up a hollow to the southeast corner of an orchard in front of a house owned by Hunt. It continued west to a small bluff, crossed south toward another hollow and a line associated with McCallie, Hooke and Rogers, then followed the hollow back to the spring. Within those bounds lay three acres, more or less. The deed did not describe the railway's purchase as all three acres. It identified the larger property through which the strip would run.</w:t>
      </w:r>
      <w:r>
        <w:rPr>
          <w:sz w:val="18"/>
          <w:vertAlign w:val="superscript"/>
        </w:rPr>
        <w:t>36</w:t>
      </w:r>
    </w:p>
    <w:p>
      <w:r>
        <w:t>Bryant's deed also named the earlier transaction by which he claimed that property. Sally Morbitt had conveyed it to him on August 19, 1878. The reference led to page 279 of the older book designated F, volume 2, now numeric Deed Book 32. The recorded copy survives. Its opening acknowledges one hundred and fifty dollars from Anderson Bryant. It follows the same sequence from Holman Spring through the hollow and orchard, toward the bluff and back along the hollow.</w:t>
      </w:r>
      <w:r>
        <w:rPr>
          <w:sz w:val="18"/>
          <w:vertAlign w:val="superscript"/>
        </w:rPr>
        <w:t>37</w:t>
      </w:r>
    </w:p>
    <w:p>
      <w:r>
        <w:t>The older deed reached back another nineteen years. Sally said D. C. Rogers had deeded her the land on September 28, 1859. Her recital provides the name and date of an earlier conveyance, although that conveyance has not yet supplied its own account of the property. By 1878, the description depended on features that its writer expected people to recognize. A spring and a hollow could begin and close the bounds. Hunt's house and the orchard helped distinguish one turn from another.</w:t>
      </w:r>
      <w:r>
        <w:rPr>
          <w:sz w:val="18"/>
          <w:vertAlign w:val="superscript"/>
        </w:rPr>
        <w:t>37</w:t>
      </w:r>
    </w:p>
    <w:p>
      <w:r>
        <w:t>Ten years later, the railway instrument added a different way of describing the same parent tract. Its line began at engineering Station 58 on the south boundary. It ran north on a four-degree curve for six hundred and five feet, ending at Station 64+05 on the north boundary. The strip extended twenty-five feet to either side of that centerline. A small drawing on the recorded page shows the curve passing through land labeled Bryant.</w:t>
      </w:r>
      <w:r>
        <w:rPr>
          <w:sz w:val="18"/>
          <w:vertAlign w:val="superscript"/>
        </w:rPr>
        <w:t>36</w:t>
      </w:r>
    </w:p>
    <w:p>
      <w:r>
        <w:t>These station numbers belong to the surveyed alignment. They give positions along the railway course; they do not name a passenger stop. The drawing contains no label for Clift Station or a cemetery. To place its curve on a present-day map requires the railway plan that connects those numbers to a known location. Within the deed, however, they specify a route more closely than a direction toward an orchard could do by itself.</w:t>
      </w:r>
    </w:p>
    <w:p>
      <w:r>
        <w:t>Both spouses appear at the end of the transaction. The separate acknowledgment records Louisa's examination apart from her husband and her acknowledgment of the deed. Those formal statements establish her participation in this conveyance. They leave her reasons and her view of the railway unstated. The signatures are dated August 13, 1888. The Register's endorsement records the filing the following afternoon.</w:t>
      </w:r>
      <w:r>
        <w:rPr>
          <w:sz w:val="18"/>
          <w:vertAlign w:val="superscript"/>
        </w:rPr>
        <w:t>36</w:t>
      </w:r>
    </w:p>
    <w:p>
      <w:r>
        <w:t>An earlier court dispute adds a question about the three acres. A Supreme Court decree in the James–Hunt litigation, headed October 6, 1884, discusses land sold to Alexander Hunt and the money due for it. Within the bounds of the title bond was a lot of about three acres called the “Bryant or Mabbit lot.” The decree says that the sellers' title to that lot had failed and that Hunt had not acquired possession. It directed an allowance against the purchase money and a report valuing the lot.</w:t>
      </w:r>
      <w:r>
        <w:rPr>
          <w:sz w:val="18"/>
          <w:vertAlign w:val="superscript"/>
        </w:rPr>
        <w:t>38</w:t>
      </w:r>
    </w:p>
    <w:p>
      <w:r>
        <w:t>The name and acreage invite comparison with the property Sally conveyed to Anderson. The decree does not name that Bryant by his given name or supply separate boundaries for the disputed lot. The railway deed explicitly points back to Sally's 1878 deed, making that connection documentary. No comparable reference yet joins the three-acre lot in the Supreme Court decree to those two instruments. The distinction keeps a promising lead from becoming a title history that the papers do not establish.</w:t>
      </w:r>
    </w:p>
    <w:p>
      <w:r>
        <w:t>There is a difficulty even within the linked deeds. The 1878 margin calls the property a lot at the foot of Lookout Mountain. The 1888 body places the home tract on top of the mountain. Their shared spring description and the later deed's precise reference to the earlier book and page survive alongside that disagreement. Either shorthand location may be misleading. Neither should decide where to draw the property on a modern map.</w:t>
      </w:r>
      <w:r>
        <w:rPr>
          <w:sz w:val="18"/>
          <w:vertAlign w:val="superscript"/>
        </w:rPr>
        <w:t>36</w:t>
      </w:r>
      <w:r>
        <w:rPr>
          <w:sz w:val="18"/>
          <w:vertAlign w:val="superscript"/>
        </w:rPr>
        <w:t>,</w:t>
      </w:r>
      <w:r>
        <w:rPr>
          <w:sz w:val="18"/>
          <w:vertAlign w:val="superscript"/>
        </w:rPr>
        <w:t>37</w:t>
      </w:r>
    </w:p>
    <w:p>
      <w:r>
        <w:t>The railway company's name later appeared in the 1890 account of disturbed Confederate graves near Clift Station. That account and Bryant's deed concern the same named company, but they describe different acts: a conveyance of a right of way and a report that construction had uncovered remains. The deed names no graves. The published account supplies no engineering station numbers. There is still no documentary basis for placing the reported disturbance inside Bryant's fifty-foot strip.</w:t>
      </w:r>
      <w:r>
        <w:rPr>
          <w:sz w:val="18"/>
          <w:vertAlign w:val="superscript"/>
        </w:rPr>
        <w:t>36</w:t>
      </w:r>
      <w:r>
        <w:rPr>
          <w:sz w:val="18"/>
          <w:vertAlign w:val="superscript"/>
        </w:rPr>
        <w:t>,</w:t>
      </w:r>
      <w:r>
        <w:rPr>
          <w:sz w:val="18"/>
          <w:vertAlign w:val="superscript"/>
        </w:rPr>
        <w:t>39</w:t>
      </w:r>
    </w:p>
    <w:p>
      <w:r>
        <w:t>The next Hunt–Bryant conveyance begins at Holman Spring too. Signed in November 1888, it describes an interest obtained from the McCamy heirs and a boundary along the railway toward a stone culvert. By then the record gives several ways of recognizing the ground: an older three-acre description, a measured railway course, and a further effort to settle title and boundaries. Their points of agreement can guide the search for the missing plans. Their differences remain part of the land history that preceded the cemetery lawsuit.</w:t>
      </w:r>
      <w:r>
        <w:rPr>
          <w:sz w:val="18"/>
          <w:vertAlign w:val="superscript"/>
        </w:rPr>
        <w:t>40</w:t>
      </w:r>
    </w:p>
    <w:p>
      <w:pPr>
        <w:pStyle w:val="Heading1"/>
      </w:pPr>
      <w:r>
        <w:t>The spring and the culvert</w:t>
      </w:r>
    </w:p>
    <w:p>
      <w:r>
        <w:t>The deeds preserve another set of landmarks around Clift Station. Alexander Hunt signed one of them on November 15, 1888. It would not enter the Hamilton County deed books until August 12, 1901. One date records the conveyance Hunt made to Anderson Bryant; the other records its filing. Between them lay nearly thirteen years.</w:t>
      </w:r>
      <w:r>
        <w:rPr>
          <w:sz w:val="18"/>
          <w:vertAlign w:val="superscript"/>
        </w:rPr>
        <w:t>41</w:t>
      </w:r>
    </w:p>
    <w:p>
      <w:r>
        <w:t>The deed began with an explanation. Hunt had obtained a conveyance from William McCamy junior and other heirs of the late A. C. McCamy. He said he held the interest in trust for Bryant, to confirm Bryant's title and possession. Bryant had paid thirty-six dollars as his share of the expense of obtaining it. Now Hunt conveyed the interest to him and settled the location of the boundary lines between them.</w:t>
      </w:r>
      <w:r>
        <w:rPr>
          <w:sz w:val="18"/>
          <w:vertAlign w:val="superscript"/>
        </w:rPr>
        <w:t>41</w:t>
      </w:r>
    </w:p>
    <w:p>
      <w:r>
        <w:t>There was a history before this signature: heirs, an earlier conveyance, a payment toward its expense, and possession that Hunt said the transaction was meant to confirm. The document did not give a book and page for the heirs' deed. It left a name to search and a transaction to recover.</w:t>
      </w:r>
    </w:p>
    <w:p>
      <w:r>
        <w:t>Then the description moved onto the ground. It began at the center of Holman Spring and ran northwest to a chestnut stake. Another course ended at the head of the first hollow north of the old McCallie cabin, formerly the John Martin cabin. The wording preserved two associations with the same building. Someone using the description had to know which hollow, which cabin, and where the stake stood.</w:t>
      </w:r>
      <w:r>
        <w:rPr>
          <w:sz w:val="18"/>
          <w:vertAlign w:val="superscript"/>
        </w:rPr>
        <w:t>41</w:t>
      </w:r>
    </w:p>
    <w:p>
      <w:r>
        <w:t>The line continued toward the Chattanooga and Lookout Mountain railroad bed. From there it followed the east boundary of the right of way northward for five hundred seventy-nine feet and eight inches, ending at the outlet of a stone culvert. Hunt placed the culvert south of his timberland or grove beside the old orchard. The boundary then turned east through the hollow, passed the orchard, and reached the branch. Following the branch and its bank returned the description to its beginning.</w:t>
      </w:r>
      <w:r>
        <w:rPr>
          <w:sz w:val="18"/>
          <w:vertAlign w:val="superscript"/>
        </w:rPr>
        <w:t>41</w:t>
      </w:r>
    </w:p>
    <w:p>
      <w:r>
        <w:t>Twenty-three years after Hunt signed, Anderson Bryant and his wife Carrie conveyed land to D. T. Clippinger. That deed, dated October 3, 1911, described a branch, the east side of a railroad right of way, and a northward course to a rock culvert on the boundary between Bryant and Alex Hunt. From the culvert, the line ran east through the center of a hollow to the Boulevard.</w:t>
      </w:r>
      <w:r>
        <w:rPr>
          <w:sz w:val="18"/>
          <w:vertAlign w:val="superscript"/>
        </w:rPr>
        <w:t>42</w:t>
      </w:r>
    </w:p>
    <w:p>
      <w:r>
        <w:t>The repeated sequence offers a possible connection: railway, culvert, Hunt boundary, hollow. It is specific enough to guide a comparison. It is not yet proof that both instruments described the same entire tract. The later deed did not cite the earlier one, and its boundary also depended on the Boulevard, which the 1888 description did not name.</w:t>
      </w:r>
    </w:p>
    <w:p>
      <w:r>
        <w:t>Another difference survives in the measurements. An August 1888 deed from Anderson and Louisa Bryant to the railway company described a strip twenty-five feet on either side of its centerline. Hunt's November deed placed a stake twelve and a half feet east of the railroad-bed center before proceeding along the right-of-way boundary. Those measurements cannot be made to agree merely by putting the deeds in date order. The missing alignment evidence still matters.</w:t>
      </w:r>
      <w:r>
        <w:rPr>
          <w:sz w:val="18"/>
          <w:vertAlign w:val="superscript"/>
        </w:rPr>
        <w:t>43</w:t>
      </w:r>
    </w:p>
    <w:p>
      <w:r>
        <w:t>In July 1915, J. G. Burton described the cemetery east of the Boulevard. The Clippinger deed described land west of it. If both referred to the same road alignment, the later deed gives a view of adjoining ground rather than a conveyance of the cemetery itself.</w:t>
      </w:r>
      <w:r>
        <w:rPr>
          <w:sz w:val="18"/>
          <w:vertAlign w:val="superscript"/>
        </w:rPr>
        <w:t>42</w:t>
      </w:r>
      <w:r>
        <w:rPr>
          <w:sz w:val="18"/>
          <w:vertAlign w:val="superscript"/>
        </w:rPr>
        <w:t>,</w:t>
      </w:r>
      <w:r>
        <w:rPr>
          <w:sz w:val="18"/>
          <w:vertAlign w:val="superscript"/>
        </w:rPr>
        <w:t>44</w:t>
      </w:r>
    </w:p>
    <w:p>
      <w:r>
        <w:t>Neither Bryant deed described graves, and Hunt's deed did not name a cemetery. They preserve features that may help locate the land around it: Holman Spring, the old cabin, Hunt's orchard and the railway culvert. The witnesses in the cemetery case also relied on roads and railway lines. Their descriptions can be compared where those landmarks can be located.</w:t>
      </w:r>
    </w:p>
    <w:p>
      <w:pPr>
        <w:pStyle w:val="Heading1"/>
      </w:pPr>
      <w:r>
        <w:t>A fence around the tract</w:t>
      </w:r>
    </w:p>
    <w:p>
      <w:r>
        <w:t>The owners' answer acknowledged what could be seen on the ground.</w:t>
      </w:r>
    </w:p>
    <w:p>
      <w:r>
        <w:t>“It is also true that there are graves in that section,” it said, then qualified the admission: “or at least, there is the external appearance of graves upon the surface of the ground.” The qualification limited the admission without denying the visible signs of burial.</w:t>
      </w:r>
      <w:r>
        <w:rPr>
          <w:sz w:val="18"/>
          <w:vertAlign w:val="superscript"/>
        </w:rPr>
        <w:t>45</w:t>
      </w:r>
    </w:p>
    <w:p>
      <w:r>
        <w:t>In August 1915, the defendants were answering the bill brought by Isaac Moore Sr. and his fellow complainants. Their papers identified the place through familiar public features. The railway met the Boulevard there, “just at the Post Office,” in the town of Lookout Mountain. Elsewhere in the answer they described a larger property, bounded on one side by the Glenview Land Company's land, on another by the Hooke and McCallie lot, and on the south by the state line. The Boulevard crossed that property. The ground sought by the complainants lay east of the road.</w:t>
      </w:r>
      <w:r>
        <w:rPr>
          <w:sz w:val="18"/>
          <w:vertAlign w:val="superscript"/>
        </w:rPr>
        <w:t>45</w:t>
      </w:r>
      <w:r>
        <w:rPr>
          <w:sz w:val="18"/>
          <w:vertAlign w:val="superscript"/>
        </w:rPr>
        <w:t>,</w:t>
      </w:r>
      <w:r>
        <w:rPr>
          <w:sz w:val="18"/>
          <w:vertAlign w:val="superscript"/>
        </w:rPr>
        <w:t>46</w:t>
      </w:r>
    </w:p>
    <w:p>
      <w:r>
        <w:t>That east-side description agreed with J. G. Burton's affidavit. He had placed the cemetery south of Clift Station, southwest of the railway and east of the Boulevard. An affiant who remembered the community and defendants resisting its claim had supplied a common road reference. It gives the later researcher a place to begin, though the road's historical course still has to be put on a map.</w:t>
      </w:r>
      <w:r>
        <w:rPr>
          <w:sz w:val="18"/>
          <w:vertAlign w:val="superscript"/>
        </w:rPr>
        <w:t>47</w:t>
      </w:r>
    </w:p>
    <w:p>
      <w:r>
        <w:t>The fence required closer reading. According to the defendants, it surrounded their property east of the Boulevard and ran some distance south of the graves. The graves were enclosed because they lay inside the larger tract. On that account, the fence was a property enclosure. It did not define the extent of the burial ground within it.</w:t>
      </w:r>
      <w:r>
        <w:rPr>
          <w:sz w:val="18"/>
          <w:vertAlign w:val="superscript"/>
        </w:rPr>
        <w:t>48</w:t>
      </w:r>
    </w:p>
    <w:p>
      <w:r>
        <w:t>Evans described its construction in his own examination. There had been trouble with people cutting timber and with adjoining property, he said. About two years earlier, he had asked Mr. Barrows, who lived across the Boulevard, to build the wire fence. Evans described the land within it by reference to the railway, old maps of the McCallie tract and the Glenview Addition. The enclosure left out a small triangle. His answer did not identify that excluded triangle as the cemetery.</w:t>
      </w:r>
      <w:r>
        <w:rPr>
          <w:sz w:val="18"/>
          <w:vertAlign w:val="superscript"/>
        </w:rPr>
        <w:t>49</w:t>
      </w:r>
    </w:p>
    <w:p>
      <w:r>
        <w:t>Inside the larger property, the graves had their own fences. Asked what separated the burial ground from the rest of the land, Evans answered, “There may be half a dozen old wooden fences around individual graves, but no outside enclosures.” His estimate counted possible enclosures, not bodies. He said the ground had not been enclosed before the fence built two years earlier, so far as his fifty years of knowledge of the property extended. That long span belonged to his recollection of the land. He did not give it as the age of the cemetery.</w:t>
      </w:r>
      <w:r>
        <w:rPr>
          <w:sz w:val="18"/>
          <w:vertAlign w:val="superscript"/>
        </w:rPr>
        <w:t>49</w:t>
      </w:r>
    </w:p>
    <w:p>
      <w:r>
        <w:t>Evans also described himself as custodian, paying taxes and looking after the property for the Ochs interest, Montague and himself. He denied ever granting permission for burials and said he believed none of his associates had granted it. Asked whether he had undertaken to disturb the graves already there, he answered, “I have not.” The examination preserved that denial alongside his opposition to further burial use. It recorded what he said about his conduct up to that point; the later history of the graves still requires its own evidence.</w:t>
      </w:r>
      <w:r>
        <w:rPr>
          <w:sz w:val="18"/>
          <w:vertAlign w:val="superscript"/>
        </w:rPr>
        <w:t>49</w:t>
      </w:r>
    </w:p>
    <w:p>
      <w:r>
        <w:t>The distinction helps explain why a drawing can show a fence and graves together without settling the cemetery's boundary. People described the place for different purposes. A person locating a relative's burial, a witness sketching the ground and an owner describing a tract could refer to the same features while drawing different lines around them. Each description has to retain the purpose and source that produced it.</w:t>
      </w:r>
    </w:p>
    <w:p>
      <w:r>
        <w:t>D. P. Montague's testimony added his own observation. He said he had known for a number of years that people were probably buried there because of the raised ground. He recalled noticing graves after becoming administrator some seven or eight years earlier. One or two had a fence around them. Asked whether he had given permission or been asked for it, he answered that he had not.</w:t>
      </w:r>
      <w:r>
        <w:rPr>
          <w:sz w:val="18"/>
          <w:vertAlign w:val="superscript"/>
        </w:rPr>
        <w:t>50</w:t>
      </w:r>
    </w:p>
    <w:p>
      <w:r>
        <w:t>His description placed grave enclosures within a landscape that also had a larger property fence. The record did not name the people in those particular graves. It did show that the signs of burial had come to the attention of a defendant before this examination.</w:t>
      </w:r>
    </w:p>
    <w:p>
      <w:r>
        <w:t>The defendants' answer stated that they had not wished to disturb the resting places of the dead. They wanted further use stopped. They denied that anyone possessed a right to bury on the property and characterized additional interments as having been made without their consent. Those assertions explain the position they brought into the litigation. They cannot tell us, on their own, whether every allegation was true or how the ground was treated afterward.</w:t>
      </w:r>
      <w:r>
        <w:rPr>
          <w:sz w:val="18"/>
          <w:vertAlign w:val="superscript"/>
        </w:rPr>
        <w:t>45</w:t>
      </w:r>
    </w:p>
    <w:p>
      <w:r>
        <w:t>Their account of ownership reached back decades. One branch rested on a January 1885 conveyance from Alexander Hunt and his wife. Another cited a December 1894 deed from the Lookout Mountain Company to Henry Stix as trustee. The answer supplied book and page references for both. Its description tied those older transactions directly to the tract being contested in the cemetery case.</w:t>
      </w:r>
      <w:r>
        <w:rPr>
          <w:sz w:val="18"/>
          <w:vertAlign w:val="superscript"/>
        </w:rPr>
        <w:t>51</w:t>
      </w:r>
    </w:p>
    <w:p>
      <w:r>
        <w:t>Hunt's deed joined the purchase of land to the prospect of a railway. Its first provision conveyed his interest in a tract bounded through older ownership names and the state line. The quantity was to be at least fifty acres. If his interest fell short of that amount, a strip of uniform width from his adjoining land on the west was to make up the difference. The document gave the purchasers a means of securing the promised quantity, while leaving the extent of Hunt's interest to be ascertained. Its acreage cannot be used as the size of the cemetery.</w:t>
      </w:r>
      <w:r>
        <w:rPr>
          <w:sz w:val="18"/>
          <w:vertAlign w:val="superscript"/>
        </w:rPr>
        <w:t>52</w:t>
      </w:r>
    </w:p>
    <w:p>
      <w:r>
        <w:t>A separate provision concerned about thirty-eight acres. King, Evans, Woodworth, Temple and Marshall received an exclusive option to buy that land at thirty dollars an acre within three years. To qualify, they or their associates had to construct a railway or incline for public use and have it operating to the top of Lookout Mountain within the same period. Hunt's promise made another purchase depend on the completion of transportation to the summit.</w:t>
      </w:r>
      <w:r>
        <w:rPr>
          <w:sz w:val="18"/>
          <w:vertAlign w:val="superscript"/>
        </w:rPr>
        <w:t>52</w:t>
      </w:r>
    </w:p>
    <w:p>
      <w:r>
        <w:t>The option tract lay north of the road from Sunset Rock to the Natural Bridge House. The deed located that road about twenty rods north of Hunt's dwelling and related the land to the tract conveyed that day. Such references would have been useful to someone who knew the house and road. Their value for a present-day map depends on recovering those locations. The option itself records an opportunity and its conditions; it does not establish that the purchasers fulfilled them or acquired the additional land.</w:t>
      </w:r>
      <w:r>
        <w:rPr>
          <w:sz w:val="18"/>
          <w:vertAlign w:val="superscript"/>
        </w:rPr>
        <w:t>52</w:t>
      </w:r>
    </w:p>
    <w:p>
      <w:r>
        <w:t>The 1894 Company deed assembled property in a different form. It conveyed an undivided five-eighths interest in a tract described as two hundred and eight acres, bounded by the Georgia line and neighboring lands identified through Roberts, McCallie, Hooke, Rogers and Hunt. It also listed twenty-seven subdivision lots. Stix held the conveyed property as trustee for four beneficiaries. Adolph S. Ochs, Henry Stix and George W. Ochs each had twenty-five eighty-sixths; James Gottschalk had eleven eighty-sixths. The fractions specified unequal interests in the trust property, which included both the tract interest and the listed lots.</w:t>
      </w:r>
      <w:r>
        <w:rPr>
          <w:sz w:val="18"/>
          <w:vertAlign w:val="superscript"/>
        </w:rPr>
        <w:t>53</w:t>
      </w:r>
    </w:p>
    <w:p>
      <w:r>
        <w:t>The Company deed also carried a record of litigation. Its release paragraph named M. Grant's suit against the Lookout Mountain Company. Lawyers joined in the instrument to release a lien on the property being conveyed, limiting the release to that property. Their signatures recorded another claim that had to be addressed as the land passed into the trust.</w:t>
      </w:r>
      <w:r>
        <w:rPr>
          <w:sz w:val="18"/>
          <w:vertAlign w:val="superscript"/>
        </w:rPr>
        <w:t>53</w:t>
      </w:r>
    </w:p>
    <w:p>
      <w:r>
        <w:t>An opinion issued by the Tennessee Supreme Court on October 25, 1894, gives that reference a strong counterpart. M. Grant and other minority stockholders had challenged transactions involving the land company, a hotel company and a railroad company. A later conveyance placed the Company's real estate in Baxter's hands in return for a two-hundred-thousand-dollar note due in ten years. The opinion recounted the lower court's cancellation of that deed and restoration of the property to the Company.</w:t>
      </w:r>
      <w:r>
        <w:rPr>
          <w:sz w:val="18"/>
          <w:vertAlign w:val="superscript"/>
        </w:rPr>
        <w:t>54</w:t>
      </w:r>
    </w:p>
    <w:p>
      <w:r>
        <w:t>By the time of this appeal, the question was who should pay the attorneys who had recovered the property. The Supreme Court held the Company responsible for reasonable fees and recognized a lien on the land recovered. It sent the case back for the fee proceedings. The parties, court and lien connect this decision closely with the release in the December deed, although the deed leaves the case number blank. Neither record names the cemetery. Together they give the ownership history another set of court papers and an earlier conveyance to follow.</w:t>
      </w:r>
      <w:r>
        <w:rPr>
          <w:sz w:val="18"/>
          <w:vertAlign w:val="superscript"/>
        </w:rPr>
        <w:t>53</w:t>
      </w:r>
      <w:r>
        <w:rPr>
          <w:sz w:val="18"/>
          <w:vertAlign w:val="superscript"/>
        </w:rPr>
        <w:t>,</w:t>
      </w:r>
      <w:r>
        <w:rPr>
          <w:sz w:val="18"/>
          <w:vertAlign w:val="superscript"/>
        </w:rPr>
        <w:t>54</w:t>
      </w:r>
    </w:p>
    <w:p>
      <w:r>
        <w:t>The two deeds therefore require reading at more than one scale. One describes Hunt's interest and a minimum quantity; another conveys a fractional interest in a larger tract alongside individual lots. The cemetery case later brought those instruments into its account of ownership. Their descriptions help trace the claim, but the ground occupied by graves still has to be located within the land to which the claim applied.</w:t>
      </w:r>
    </w:p>
    <w:p>
      <w:r>
        <w:t>When Montague was asked about the owners, he described two groups of interests: three-eighths and five-eighths. Counsel J. M. Trimble then put a more specific statement into the record. The five-eighths interest belonged to A. S. Ochs, George W. Ochs, Julia Gottschalk and Fannie Stix, whose shares within that group were not equal. The other three-eighths involved Evans, Montague and an equitable interest associated with Katherine M. Marshall.</w:t>
      </w:r>
      <w:r>
        <w:rPr>
          <w:sz w:val="18"/>
          <w:vertAlign w:val="superscript"/>
        </w:rPr>
        <w:t>55</w:t>
      </w:r>
    </w:p>
    <w:p>
      <w:r>
        <w:t>These were undivided interests. The fractions do not give us five-eighths of a graveyard on one side of a line and three-eighths on the other. A chain of ownership and a map of occupied ground require different evidence. The lawsuit brings them together because the claimed right to continue burying the dead was asserted against people who claimed the land.</w:t>
      </w:r>
    </w:p>
    <w:p>
      <w:r>
        <w:t>By the time Garvin considered the case, the file contained recollections of funerals, indications of graves, descriptions of fences and a set of title references. The remaining questions concerned what rights those facts established and where those rights extended. The defendants' own words make the ground part of the documentary history. The court's later dismissal must be read alongside those words, including the acknowledgment of graves that the answer itself preserved.</w:t>
      </w:r>
      <w:r>
        <w:rPr>
          <w:sz w:val="18"/>
          <w:vertAlign w:val="superscript"/>
        </w:rPr>
        <w:t>45</w:t>
      </w:r>
      <w:r>
        <w:rPr>
          <w:sz w:val="18"/>
          <w:vertAlign w:val="superscript"/>
        </w:rPr>
        <w:t>,</w:t>
      </w:r>
      <w:r>
        <w:rPr>
          <w:sz w:val="18"/>
          <w:vertAlign w:val="superscript"/>
        </w:rPr>
        <w:t>56</w:t>
      </w:r>
    </w:p>
    <w:p>
      <w:pPr>
        <w:pStyle w:val="Heading1"/>
      </w:pPr>
      <w:r>
        <w:t>The boundary in the record</w:t>
      </w:r>
    </w:p>
    <w:p>
      <w:r>
        <w:t>The sketch has a word where the dead are: “Graves.”</w:t>
      </w:r>
    </w:p>
    <w:p>
      <w:r>
        <w:t>Around it are the features by which people explained the ground to one another: a railway, a boulevard, a fence. The drawing survives among the papers of Isaac Moore Sr.'s lawsuit against H. Clay Evans and others. Its caption identifies it as an exhibit to Evans's deposition. It has no scale, no bearings, no north arrow. It records a place, but it cannot, by itself, settle how much land that place occupied.</w:t>
      </w:r>
      <w:r>
        <w:rPr>
          <w:sz w:val="18"/>
          <w:vertAlign w:val="superscript"/>
        </w:rPr>
        <w:t>57</w:t>
      </w:r>
    </w:p>
    <w:p>
      <w:r>
        <w:t>Isaac Moore Jr. had supplied another account of the ground. About thirty-eight years old, he said he had lived on the mountain for twenty-two years and had known the cemetery throughout that time. He had dug many graves there. In his examination, a rough plat was identified as Exhibit A and a photograph of a section of the cemetery as Exhibit B. These were separate from the drawing attached to Evans's testimony.</w:t>
      </w:r>
      <w:r>
        <w:rPr>
          <w:sz w:val="18"/>
          <w:vertAlign w:val="superscript"/>
        </w:rPr>
        <w:t>58</w:t>
      </w:r>
    </w:p>
    <w:p>
      <w:r>
        <w:t>The cross-examination asked Moore Jr. how he had located a line where there was no fence. “We just laid off the graves,” he answered, “so as to have the graves inside the lot.” The graves themselves had supplied the extent he was trying to show. He acknowledged that the adjoining owners to the south had not been consulted about the line. Asked whether he had seen a cemetery deed or another map, he answered, “None whatever.” He signed the closing leaf Ike Moore Jr.; the oath beneath his signature is dated January 18, 1916.</w:t>
      </w:r>
      <w:r>
        <w:rPr>
          <w:sz w:val="18"/>
          <w:vertAlign w:val="superscript"/>
        </w:rPr>
        <w:t>58</w:t>
      </w:r>
    </w:p>
    <w:p>
      <w:r>
        <w:t>His description leaves a practical task for anyone trying to reconstruct the ground. We have his explanation of how the line was drawn, but the two exhibits he identified have not yet been recovered in this research. Evans's surviving sketch cannot silently take the place of Moore Jr.'s plat. The separate documents may have shown different details, including the graves used to locate the southern line.</w:t>
      </w:r>
      <w:r>
        <w:rPr>
          <w:sz w:val="18"/>
          <w:vertAlign w:val="superscript"/>
        </w:rPr>
        <w:t>58</w:t>
      </w:r>
    </w:p>
    <w:p>
      <w:r>
        <w:t>The writ had described a beginning at a fence post south of the Boulevard's crossing with the railway. From there the claimed line followed the Boulevard and a wire fence for 176 feet. It turned east for approximately 225 feet, “so as to fall south of any graves,” to the railway right of way. A further 247 feet along that right of way and its fence led to the north end of the fence. A short, unmeasured course closed the description. The writ said every side was fenced except the south.</w:t>
      </w:r>
      <w:r>
        <w:rPr>
          <w:sz w:val="18"/>
          <w:vertAlign w:val="superscript"/>
        </w:rPr>
        <w:t>59</w:t>
      </w:r>
    </w:p>
    <w:p>
      <w:r>
        <w:t>Those calls show an effort to include the graves in a defined tract. They do not show that every part of the tract had been used for burial or that a landowner had dedicated all of it to future public use. Moore Sr.'s later testimony likewise distinguished the larger field from the ground containing graves. The extent of the tract became a central difficulty when the court considered the public right being claimed.</w:t>
      </w:r>
      <w:r>
        <w:rPr>
          <w:sz w:val="18"/>
          <w:vertAlign w:val="superscript"/>
        </w:rPr>
        <w:t>59</w:t>
      </w:r>
      <w:r>
        <w:rPr>
          <w:sz w:val="18"/>
          <w:vertAlign w:val="superscript"/>
        </w:rPr>
        <w:t>,</w:t>
      </w:r>
      <w:r>
        <w:rPr>
          <w:sz w:val="18"/>
          <w:vertAlign w:val="superscript"/>
        </w:rPr>
        <w:t>60</w:t>
      </w:r>
    </w:p>
    <w:p>
      <w:r>
        <w:t>The complainants' counsel asked Evans for more detail on his own plat. Would he indicate the cemetery's dimensions, taking its southern boundary as a line just south of the southernmost graves? Evans agreed. Would he also show the small branch that crossed the land? He agreed to that, too. The defendants then objected that they should not have to make surveys to supply evidence for the complainants. The exchange records a request for measurements and an objection; it does not supply the completed measured plan.</w:t>
      </w:r>
      <w:r>
        <w:rPr>
          <w:sz w:val="18"/>
          <w:vertAlign w:val="superscript"/>
        </w:rPr>
        <w:t>61</w:t>
      </w:r>
    </w:p>
    <w:p>
      <w:r>
        <w:t>In their written memorandum, the complainants' lawyers made the long use of the ground central to their case. “For twenty six years and more,” they wrote, “the people of the community have used this land as a burial ground.” A copy notation to J. M. Trimble bears the date November 17, 1916. The statement would carry burial use back to about 1890 or earlier, but it was counsel's claim of duration. Dial's separate twenty-six-year statement had concerned his residence on the mountain.</w:t>
      </w:r>
      <w:r>
        <w:rPr>
          <w:sz w:val="18"/>
          <w:vertAlign w:val="superscript"/>
        </w:rPr>
        <w:t>62</w:t>
      </w:r>
    </w:p>
    <w:p>
      <w:r>
        <w:t>The lawyers described approximately one hundred graves in a triangle measuring 176 by 225 by 247 feet. They placed the ground on the main road and electric car line, at the post office and a station. Many graves had fences; many had markers and tombstones. Their argument gathered the visible signs of burial and the witnesses' accounts into a claim that the owners had acquiesced in public use. Evans's denial of permission and the residents' accounts of burial without known objection remained distinct parts of the record.</w:t>
      </w:r>
      <w:r>
        <w:rPr>
          <w:sz w:val="18"/>
          <w:vertAlign w:val="superscript"/>
        </w:rPr>
        <w:t>62</w:t>
      </w:r>
    </w:p>
    <w:p>
      <w:r>
        <w:t>The memorandum also offered the judge a limit. The claimed cemetery was “only the plot which is within a line circumscribing the outside line of graves.” If the disputed grave lay outside that line, counsel conceded that it should be moved. If it lay within, they argued that Moore was entitled to bury there. They also sought protection against disturbance of the graves and obstruction of access. Their words made the position of Moore's daughter's grave consequential, without establishing where it lay in relation to the proposed line. The conditional concession cannot tell us that a removal occurred.</w:t>
      </w:r>
      <w:r>
        <w:rPr>
          <w:sz w:val="18"/>
          <w:vertAlign w:val="superscript"/>
        </w:rPr>
        <w:t>62</w:t>
      </w:r>
    </w:p>
    <w:p>
      <w:r>
        <w:t>The case required more than showing that bodies lay in the earth. In the surviving leaves of his memorandum, Garvin considered the asserted right of the public to continue making burials. He approached that right through dedication: had the land been devoted to public burial use? One page describes the case as resting on long use by the public. Garvin considered whether that use had been adverse or merely permissive, then expressly left that question undecided as he turned to the boundary. The proof, he wrote, left it “too indefinite and uncertain to establish a dedication.”</w:t>
      </w:r>
      <w:r>
        <w:rPr>
          <w:sz w:val="18"/>
          <w:vertAlign w:val="superscript"/>
        </w:rPr>
        <w:t>60</w:t>
      </w:r>
    </w:p>
    <w:p>
      <w:r>
        <w:t>There was another distinction in his reasoning. Allowing a grave to remain might give relatives of the person buried there a right to maintain that grave. It did not necessarily give other people, or the public, a right to make more graves. On the final surviving photographed leaf, Garvin said the bill rested on the complainants' alleged rights as members of the public. He would dismiss it with costs.</w:t>
      </w:r>
      <w:r>
        <w:rPr>
          <w:sz w:val="18"/>
          <w:vertAlign w:val="superscript"/>
        </w:rPr>
        <w:t>63</w:t>
      </w:r>
    </w:p>
    <w:p>
      <w:r>
        <w:t>The final decree did dismiss the bill and dissolve the injunction. It charged costs to the complainant and to John A. Chambliss as prosecution surety. It also allowed a process to determine what damages, if any, the defendants had sustained through the injunction. That process was not to begin unless defendants requested it in writing.</w:t>
      </w:r>
      <w:r>
        <w:rPr>
          <w:sz w:val="18"/>
          <w:vertAlign w:val="superscript"/>
        </w:rPr>
        <w:t>64</w:t>
      </w:r>
    </w:p>
    <w:p>
      <w:r>
        <w:t>Uncertain boundaries were part of the judge's stated reasoning. So was the difference between the public claim before him and possible rights attached to particular graves. The surviving passages do not say that the ground contained no dead. Nor do they show that a particular refused survey, by itself, decided the case.</w:t>
      </w:r>
    </w:p>
    <w:p>
      <w:r>
        <w:t>They leave a harder question behind. The earlier burial permission had included a condition concerning removal. The later decree dissolved the injunction. Between those facts and an account of what happened to Moore's daughter's body, there is still a missing record. A condition in an order cannot tell us whether anyone carried it out.</w:t>
      </w:r>
    </w:p>
    <w:p>
      <w:r>
        <w:t>For now, the documentary story reaches that gap. The sketch marks graves. The testimony remembers them. The court distinguishes the rights it will recognize. To follow the daughter's burial beyond the decree, we need the next entry, the next report, or a record that has not yet been found.</w:t>
      </w:r>
    </w:p>
    <w:p>
      <w:pPr>
        <w:pStyle w:val="Heading1"/>
      </w:pPr>
      <w:r>
        <w:t>Three names on a survey</w:t>
      </w:r>
    </w:p>
    <w:p>
      <w:r>
        <w:t>The cemetery appeared again in a government record after the court case. A typed page of the Historical Records Survey, numbered 31-A, placed Lookout Mountain Cemetery at Clift Station. Under a heading that identified it as a Black cemetery using the period's racial terminology, the compiler estimated approximately two hundred graves. Three names followed.</w:t>
      </w:r>
      <w:r>
        <w:rPr>
          <w:sz w:val="18"/>
          <w:vertAlign w:val="superscript"/>
        </w:rPr>
        <w:t>65</w:t>
      </w:r>
    </w:p>
    <w:p>
      <w:r>
        <w:t>Edward Stevens came first. The transcription gave his birth as December 24, 1888, and his death as October 22, 1902. If copied correctly, those dates describe a boy of thirteen. Beneath them were the words, “The brother shall rise again.” The line preserved a hope expressed on his marker. It did not identify the person who chose the words, commissioned the stone or paid for it.</w:t>
      </w:r>
      <w:r>
        <w:rPr>
          <w:sz w:val="18"/>
          <w:vertAlign w:val="superscript"/>
        </w:rPr>
        <w:t>65</w:t>
      </w:r>
    </w:p>
    <w:p>
      <w:r>
        <w:t>John Lockwood's entry followed Edward's in the left column. It supplied a death date, March 21, 1899, and a church office: deacon of the Lookout Mountain Baptist Church. No birth date accompanied his name. The distinction recorded beside it connects his memorial to the religious life of the mountain, although this page alone cannot identify the church's building or establish its later history.</w:t>
      </w:r>
      <w:r>
        <w:rPr>
          <w:sz w:val="18"/>
          <w:vertAlign w:val="superscript"/>
        </w:rPr>
        <w:t>65</w:t>
      </w:r>
    </w:p>
    <w:p>
      <w:r>
        <w:t>Rosia Ella Moore occupied the right column. Her parents, Isaac and Ella Moore, were named below her. Then came two dates: December 1, 1892, and July 27, 1892. Read as birth and death, they place her death before her birth. Both years are plainly typed on the surviving page. The inconsistency is part of the record we have inherited.</w:t>
      </w:r>
      <w:r>
        <w:rPr>
          <w:sz w:val="18"/>
          <w:vertAlign w:val="superscript"/>
        </w:rPr>
        <w:t>65</w:t>
      </w:r>
    </w:p>
    <w:p>
      <w:r>
        <w:t>It would be easy to repair the dates by choosing a different year. Doing so would give the sentence a confidence the evidence does not support. The compiler could have misread the stone, or the error could have entered during typing or an earlier copying. The page does not tell us where it happened. Until an independent record resolves it, Rosia's name and parentage can be retained while the dates remain uncertain.</w:t>
      </w:r>
    </w:p>
    <w:p>
      <w:r>
        <w:t>The Moore name also brings the reader back to the court case. Isaac Moore Sr. testified that his daughter died on July 27, 1915, and that he buried her at the cemetery after the injunction. His daughter's personal name is absent from that page. The shared family name and July 27 date make the comparison worth pursuing. They do not allow Rosia's entry to stand in for the unnamed daughter without further evidence.</w:t>
      </w:r>
      <w:r>
        <w:rPr>
          <w:sz w:val="18"/>
          <w:vertAlign w:val="superscript"/>
        </w:rPr>
        <w:t>66</w:t>
      </w:r>
    </w:p>
    <w:p>
      <w:r>
        <w:t>The survey's opening paragraph is difficult in another way. It says the cemetery had been used for fifty years and had not been used for the past fifteen. The leaf is attributed to a 1939 survey, although no date appears on the page itself. Counting fifty years back from 1939 would place the beginning around 1889 and fifteen years of disuse would put the end around 1924. If the compiler meant fifty years of active use before that period of disuse, the beginning would instead fall around 1874. Neither calculation supplies an established opening or closing date.</w:t>
      </w:r>
      <w:r>
        <w:rPr>
          <w:sz w:val="18"/>
          <w:vertAlign w:val="superscript"/>
        </w:rPr>
        <w:t>65</w:t>
      </w:r>
    </w:p>
    <w:p>
      <w:r>
        <w:t>The court papers preserve burials within that uncertain span. They also preserve recollections reaching farther back. Their accounts can be compared with the survey, but they cannot be made to yield a single precise chronology by treating every remembered interval as an exact count. The later sheet does establish that the burial ground continued to be recorded under a recognizable name and location after the litigation had ended.</w:t>
      </w:r>
      <w:r>
        <w:rPr>
          <w:sz w:val="18"/>
          <w:vertAlign w:val="superscript"/>
        </w:rPr>
        <w:t>65</w:t>
      </w:r>
      <w:r>
        <w:rPr>
          <w:sz w:val="18"/>
          <w:vertAlign w:val="superscript"/>
        </w:rPr>
        <w:t>,</w:t>
      </w:r>
      <w:r>
        <w:rPr>
          <w:sz w:val="18"/>
          <w:vertAlign w:val="superscript"/>
        </w:rPr>
        <w:t>66</w:t>
      </w:r>
    </w:p>
    <w:p>
      <w:r>
        <w:t>Approximately two hundred graves, three transcribed names: the scale of the loss is visible in the difference, though the page does not explain it. It does not say there were only three marked graves, that all the other markers had vanished, or that its compiler could read every stone. Nor does it provide a numbered list from which to check the estimate. Those limits prevent the record from becoming a complete burial register. They also leave open the possibility that other names survived elsewhere.</w:t>
      </w:r>
    </w:p>
    <w:p>
      <w:r>
        <w:t>For the three people it names, the sheet preserves different pieces of a life. Edward has dates and an epitaph. John has a death date and a place in a congregation. Rosia has parents and dates that need another source. The next work begins with those particular details: locating a household, following a church, finding another record of a death. Each person requires an individual inquiry. The estimate cannot supply their histories for them.</w:t>
      </w:r>
    </w:p>
    <w:p>
      <w:pPr>
        <w:pStyle w:val="Heading1"/>
      </w:pPr>
      <w:r>
        <w:t>Two death certificates</w:t>
      </w:r>
    </w:p>
    <w:p>
      <w:r>
        <w:t>Rosa Elly Moore's name appears on a Tennessee death certificate for July 27, 1915. She was recorded as twelve years old. In the space for occupation, someone wrote “Child.” Her father was Ike Moore, who also supplied the information about her. His address was Lookout Mountain.</w:t>
      </w:r>
      <w:r>
        <w:rPr>
          <w:sz w:val="18"/>
          <w:vertAlign w:val="superscript"/>
        </w:rPr>
        <w:t>67</w:t>
      </w:r>
    </w:p>
    <w:p>
      <w:r>
        <w:t>The certificate gives July as her birth month but leaves the day and year blank. Her father's birthplace is Alabama. The entry for her own birthplace has been overwritten, and the mother's maiden-name field says “Dont Know.” There is no mother's name to compare with the Ella Moore named in the cemetery survey. The document preserves some of the family particulars and leaves others unavailable.</w:t>
      </w:r>
      <w:r>
        <w:rPr>
          <w:sz w:val="18"/>
          <w:vertAlign w:val="superscript"/>
        </w:rPr>
        <w:t>67</w:t>
      </w:r>
    </w:p>
    <w:p>
      <w:r>
        <w:t>The medical section records peritonitis, with a duration of six months. Below it, a separate part of the form gives the place and date of burial: Lookout Mountain, July 28, 1915. In the undertaker field are the word “None” and, beside and above it, “neighbors.” No individual helper is named.</w:t>
      </w:r>
      <w:r>
        <w:rPr>
          <w:sz w:val="18"/>
          <w:vertAlign w:val="superscript"/>
        </w:rPr>
        <w:t>67</w:t>
      </w:r>
    </w:p>
    <w:p>
      <w:r>
        <w:t>Those particulars can be set beside Isaac Moore Sr.'s testimony. He said that his daughter died on July 27 and that he buried her in the cemetery near Clift Station after the injunction. The certificate names a Moore girl whose father was Ike, who died on that exact day and whose burial was recorded for July 28, the date of the court's conditional permission. Together, the records strongly suggest that Rosa Elly was the daughter whose burial brought the dispute into court. The connection remains an inference: the certificate does not say Clift Station or identify the father as senior, and that page of testimony does not name the daughter.</w:t>
      </w:r>
      <w:r>
        <w:rPr>
          <w:sz w:val="18"/>
          <w:vertAlign w:val="superscript"/>
        </w:rPr>
        <w:t>67</w:t>
      </w:r>
      <w:r>
        <w:rPr>
          <w:sz w:val="18"/>
          <w:vertAlign w:val="superscript"/>
        </w:rPr>
        <w:t>,</w:t>
      </w:r>
      <w:r>
        <w:rPr>
          <w:sz w:val="18"/>
          <w:vertAlign w:val="superscript"/>
        </w:rPr>
        <w:t>68</w:t>
      </w:r>
    </w:p>
    <w:p>
      <w:r>
        <w:t>This comparison does not settle the Moore inscription. The certificate's Elly, the index's Ella and the survey's Rosia Ella must remain attached to their respective sources. The certificate describes a twelve-year-old who died in 1915; the survey carries its unresolved pair of 1892 dates. Connecting Rosa to the court case is one question. Identifying the person commemorated by the broken marker is another, for which the contradictory dates still require evidence.</w:t>
      </w:r>
      <w:r>
        <w:rPr>
          <w:sz w:val="18"/>
          <w:vertAlign w:val="superscript"/>
        </w:rPr>
        <w:t>67</w:t>
      </w:r>
      <w:r>
        <w:rPr>
          <w:sz w:val="18"/>
          <w:vertAlign w:val="superscript"/>
        </w:rPr>
        <w:t>,</w:t>
      </w:r>
      <w:r>
        <w:rPr>
          <w:sz w:val="18"/>
          <w:vertAlign w:val="superscript"/>
        </w:rPr>
        <w:t>69</w:t>
      </w:r>
    </w:p>
    <w:p>
      <w:r>
        <w:t>Another certificate records the death of Maria Mostellar on February 18, 1914. It identifies her as a Black widow, gives Lookout Mountain as her place of death, and records an approximate birth date of January 1808. The age entered is one hundred and six years and one month. That is the age reported on the form; no earlier record has yet been brought into this account to verify it. Her birthplace is written “Spartansburg N.C.” The uncertain geography must also remain as the source gives it.</w:t>
      </w:r>
      <w:r>
        <w:rPr>
          <w:sz w:val="18"/>
          <w:vertAlign w:val="superscript"/>
        </w:rPr>
        <w:t>70</w:t>
      </w:r>
    </w:p>
    <w:p>
      <w:r>
        <w:t>Maria's parent fields contain strokes instead of names. A. A. Nefe appears as the informant, with a Lookout Mountain address. In the medical section are the words “No regular attendant” and “Gradual failing of vital powers.” Across the lower part of that section, someone wrote “See letter.” The recovered image has no accompanying letter, so the explanation to which it points remains outside the account.</w:t>
      </w:r>
      <w:r>
        <w:rPr>
          <w:sz w:val="18"/>
          <w:vertAlign w:val="superscript"/>
        </w:rPr>
        <w:t>70</w:t>
      </w:r>
    </w:p>
    <w:p>
      <w:r>
        <w:t>Maria's burial was recorded for February 19, the day after her death. The place is Lookout Mountain. The undertaker entry reads “Neighbors.” Read alongside Rosa's certificate, it gives a second instance in which neighbors were recorded in that role. Neither form identifies the people involved or describes their work. The two entries cannot supply a funeral scene or establish a practice followed by everyone on the mountain.</w:t>
      </w:r>
      <w:r>
        <w:rPr>
          <w:sz w:val="18"/>
          <w:vertAlign w:val="superscript"/>
        </w:rPr>
        <w:t>67</w:t>
      </w:r>
      <w:r>
        <w:rPr>
          <w:sz w:val="18"/>
          <w:vertAlign w:val="superscript"/>
        </w:rPr>
        <w:t>,</w:t>
      </w:r>
      <w:r>
        <w:rPr>
          <w:sz w:val="18"/>
          <w:vertAlign w:val="superscript"/>
        </w:rPr>
        <w:t>70</w:t>
      </w:r>
    </w:p>
    <w:p>
      <w:r>
        <w:t>For Maria, there is not yet a court statement or cemetery entry to narrow the place of burial. Lookout Mountain is the extent of the location on her certificate. She remains part of the inquiry because of that recorded burial, but it would go beyond the document to assign her a grave at Clift Station. The referenced letter may contain more information; whether it survives remains to be established.</w:t>
      </w:r>
      <w:r>
        <w:rPr>
          <w:sz w:val="18"/>
          <w:vertAlign w:val="superscript"/>
        </w:rPr>
        <w:t>70</w:t>
      </w:r>
    </w:p>
    <w:p>
      <w:pPr>
        <w:pStyle w:val="Heading1"/>
      </w:pPr>
      <w:r>
        <w:t>Congregations and their records</w:t>
      </w:r>
    </w:p>
    <w:p>
      <w:r>
        <w:t>John Lockwood's identification as a deacon supplies a church connection that can be followed beyond the cemetery. The WPA transcription names the Lookout Mountain Baptist Church. The office beside his name suggests a congregation in whose records he might also appear, although it supplies neither an address nor a list of fellow members.</w:t>
      </w:r>
      <w:r>
        <w:rPr>
          <w:sz w:val="18"/>
          <w:vertAlign w:val="superscript"/>
        </w:rPr>
        <w:t>71</w:t>
      </w:r>
    </w:p>
    <w:p>
      <w:r>
        <w:t>The church directory published in December 1940 placed First Church at 203 North Bragg Avenue on Lookout Mountain. It named the Rev. Lewis J. Flemister as pastor and gave his address as 1307 West Forty-sixth Street. The entry fell within the book's Black Missionary Baptist section, under Pilgrim Joy Association. In the community index, the compilers called it First Baptist Church and sent the reader back to page eleven.</w:t>
      </w:r>
      <w:r>
        <w:rPr>
          <w:sz w:val="18"/>
          <w:vertAlign w:val="superscript"/>
        </w:rPr>
        <w:t>72</w:t>
      </w:r>
    </w:p>
    <w:p>
      <w:r>
        <w:t>Two years later, a WPA guide to church vital statistics described books belonging to a congregation with the same First Church name and North Bragg address. According to its surviving online transcription, secretary Magnolia Travis held four volumes of church minutes beginning in 1932. They included membership and vital information, with deaths among the categories listed. The guide gave her address as 120 South Hermitage Avenue. The church, pastor and secretary now have separate places in the documentary record.</w:t>
      </w:r>
      <w:r>
        <w:rPr>
          <w:sz w:val="18"/>
          <w:vertAlign w:val="superscript"/>
        </w:rPr>
        <w:t>73</w:t>
      </w:r>
    </w:p>
    <w:p>
      <w:r>
        <w:t>Those four volumes remain to be located. Their stated coverage begins long after Lockwood's reported death in 1899. Both church publications give the congregation a beginning in 1904, five years after his death. The 1940 directory explains how to read that date: its compilers used the year of organization officially claimed by each church. It preserves the congregation's account of its beginning, leaving open the question of how that account relates to the church named on Lockwood's inscription.</w:t>
      </w:r>
      <w:r>
        <w:rPr>
          <w:sz w:val="18"/>
          <w:vertAlign w:val="superscript"/>
        </w:rPr>
        <w:t>73</w:t>
      </w:r>
      <w:r>
        <w:rPr>
          <w:sz w:val="18"/>
          <w:vertAlign w:val="superscript"/>
        </w:rPr>
        <w:t>,</w:t>
      </w:r>
      <w:r>
        <w:rPr>
          <w:sz w:val="18"/>
          <w:vertAlign w:val="superscript"/>
        </w:rPr>
        <w:t>74</w:t>
      </w:r>
    </w:p>
    <w:p>
      <w:r>
        <w:t>The directory had drawn on minutes, yearbooks, city and church directories, and personal interviews. Its preface credited Lucille Schmidt, Willie Ann Morrison, Carolyn Atchley and Elizabeth Kimbrell with fieldwork, and described checks with denominational representatives. These were several possible routes by which a church's history could enter the printed list. The preface did not identify which informant or document supplied First Church's date. A congregation's earlier name or a later reorganization might explain the five-year discrepancy, but neither explanation appears in the entry.</w:t>
      </w:r>
      <w:r>
        <w:rPr>
          <w:sz w:val="18"/>
          <w:vertAlign w:val="superscript"/>
        </w:rPr>
        <w:t>74</w:t>
      </w:r>
    </w:p>
    <w:p>
      <w:r>
        <w:t>Dial's testimony opens another route into church records. The minister who recalled his own child's burial and about fifty others at the cemetery did not name his congregation in those pages. Later convention journals preserve an E. H. Dial with a Lookout Mountain address. In 1926, the National Baptist Convention's church-enrollment list paired Rev. E. H. Dial with Mt. Calvary in Chattanooga.</w:t>
      </w:r>
      <w:r>
        <w:rPr>
          <w:sz w:val="18"/>
          <w:vertAlign w:val="superscript"/>
        </w:rPr>
        <w:t>75</w:t>
      </w:r>
    </w:p>
    <w:p>
      <w:r>
        <w:t>Olivet appeared beside his name in the following year's enrollment. The 1927 proceedings listed the Chattanooga church with Rev. E. H. Dial of Lookout Mountain. In 1936 the list again paired Olivet with E. H. Dial, this time printing his address as R.F.D. 135, Lookout Mountain. The two entries each recorded ten dollars.</w:t>
      </w:r>
      <w:r>
        <w:rPr>
          <w:sz w:val="18"/>
          <w:vertAlign w:val="superscript"/>
        </w:rPr>
        <w:t>76</w:t>
      </w:r>
      <w:r>
        <w:rPr>
          <w:sz w:val="18"/>
          <w:vertAlign w:val="superscript"/>
        </w:rPr>
        <w:t>,</w:t>
      </w:r>
      <w:r>
        <w:rPr>
          <w:sz w:val="18"/>
          <w:vertAlign w:val="superscript"/>
        </w:rPr>
        <w:t>77</w:t>
      </w:r>
    </w:p>
    <w:p>
      <w:r>
        <w:t>The association appeared again in 1940. Olivet's entry named E. H. Dial and gave Route 35, Lookout Mountain, with ten dollars in the amount column. These dated entries make the church a recurring part of the search for him. The different address forms remain as printed, and the lists do not state when he entered a congregation or how long he served it.</w:t>
      </w:r>
      <w:r>
        <w:rPr>
          <w:sz w:val="18"/>
          <w:vertAlign w:val="superscript"/>
        </w:rPr>
        <w:t>78</w:t>
      </w:r>
    </w:p>
    <w:p>
      <w:r>
        <w:t>The December 1940 directory gives the minister a full name and an explicit office. On the same page as First Church, it lists the Rev. Edward H. Dial as pastor of Olivet Church, at 921 University Place. His own address is 202 North Bragg Avenue, Lookout Mountain. Olivet appears under the North Chickamauga and Chattanooga Association, before the separate Pilgrim Joy heading for First Church. The two North Bragg addresses therefore belong to different kinds of entries: a minister's address at 202 and a church at 203.</w:t>
      </w:r>
      <w:r>
        <w:rPr>
          <w:sz w:val="18"/>
          <w:vertAlign w:val="superscript"/>
        </w:rPr>
        <w:t>79</w:t>
      </w:r>
    </w:p>
    <w:p>
      <w:r>
        <w:t>The directory's date also has limits. Its title says December 1940, and state supervisor Madison Bratton signed the preface on December 6. Neither gives a collection date for Dial's entry. The book provides a pastoral listing, without fixing the day on which the information was obtained or the length of his service. It cannot turn the convention's several enrollment entries into a continuous record of his pastorate.</w:t>
      </w:r>
      <w:r>
        <w:rPr>
          <w:sz w:val="18"/>
          <w:vertAlign w:val="superscript"/>
        </w:rPr>
        <w:t>74</w:t>
      </w:r>
      <w:r>
        <w:rPr>
          <w:sz w:val="18"/>
          <w:vertAlign w:val="superscript"/>
        </w:rPr>
        <w:t>,</w:t>
      </w:r>
      <w:r>
        <w:rPr>
          <w:sz w:val="18"/>
          <w:vertAlign w:val="superscript"/>
        </w:rPr>
        <w:t>79</w:t>
      </w:r>
    </w:p>
    <w:p>
      <w:r>
        <w:t>The earlier Mt. Calvary entry raises a separate question. The 1940 directory lists Mount Calvary at 1401 Carter Street, with the Rev. Norman J. Johnson as pastor and a church-claimed organization date of 1932. That date comes six years after the convention paired Dial with a Chattanooga church of the same name. The entries do not explain whether they concern the same institution. The apparent sequence from Mt. Calvary to Olivet must remain a question about Dial's history rather than an established account of a move.</w:t>
      </w:r>
      <w:r>
        <w:rPr>
          <w:sz w:val="18"/>
          <w:vertAlign w:val="superscript"/>
        </w:rPr>
        <w:t>75</w:t>
      </w:r>
      <w:r>
        <w:rPr>
          <w:sz w:val="18"/>
          <w:vertAlign w:val="superscript"/>
        </w:rPr>
        <w:t>,</w:t>
      </w:r>
      <w:r>
        <w:rPr>
          <w:sz w:val="18"/>
          <w:vertAlign w:val="superscript"/>
        </w:rPr>
        <w:t>79</w:t>
      </w:r>
    </w:p>
    <w:p>
      <w:r>
        <w:t>The 1942 church guide supplies a particular set of Olivet books. Its online transcription names Rev. Edward H. Dial as custodian of three volumes of minutes beginning in 1932. Baptisms, members and deaths were among their contents. It repeats the church's University Place location and his North Bragg address. The name, church and addresses can be read directly in the original 1940 directory; the claim about the three volumes still rests on the transcribed guide. The two publications may have drawn on shared information.</w:t>
      </w:r>
      <w:r>
        <w:rPr>
          <w:sz w:val="18"/>
          <w:vertAlign w:val="superscript"/>
        </w:rPr>
        <w:t>80</w:t>
      </w:r>
      <w:r>
        <w:rPr>
          <w:sz w:val="18"/>
          <w:vertAlign w:val="superscript"/>
        </w:rPr>
        <w:t>,</w:t>
      </w:r>
      <w:r>
        <w:rPr>
          <w:sz w:val="18"/>
          <w:vertAlign w:val="superscript"/>
        </w:rPr>
        <w:t>79</w:t>
      </w:r>
    </w:p>
    <w:p>
      <w:r>
        <w:t>The initials, clerical title and locality make this minister a strong candidate for comparison with the cemetery witness. Establishing that identity will require a connection across the years, and it would still leave his congregation at the time of the lawsuit to be determined. The original 1942 entry needs checking, and the later whereabouts of Olivet's minutes are unknown. Their stated coverage begins after the cemetery litigation, but the books may help identify the minister and lead to earlier church records.</w:t>
      </w:r>
    </w:p>
    <w:p>
      <w:r>
        <w:t>Similar names can obscure the search. Covenant College's student handbook for 2001–2002 lists First Baptist Church of Lookout Mountain at 205 North Bragg Avenue and, separately, Lookout Mountain Baptist Church at 901 Scenic Highway. Both appear on the same page. The later Bragg address differs from the WPA transcription's number; its significance still needs to be checked.</w:t>
      </w:r>
      <w:r>
        <w:rPr>
          <w:sz w:val="18"/>
          <w:vertAlign w:val="superscript"/>
        </w:rPr>
        <w:t>81</w:t>
      </w:r>
    </w:p>
    <w:p>
      <w:r>
        <w:t>The names also require care in earlier records. Connelly's 1896 Chattanooga directory lists a Lookout Mountain Church near Lookout Inn, with the Rev. P. F. Brown as pastor. Its denomination is supplied by the Presbyterian heading on the preceding page. Brown also appears as pastor of the St. Elmo Presbyterian congregation. Read without that heading, the mountain entry could easily be attached to the wrong church.</w:t>
      </w:r>
      <w:r>
        <w:rPr>
          <w:sz w:val="18"/>
          <w:vertAlign w:val="superscript"/>
        </w:rPr>
        <w:t>82</w:t>
      </w:r>
    </w:p>
    <w:p>
      <w:r>
        <w:t>The same directory gives New Salem Church an address of 230 Chestnut, under its list of Black Baptist congregations. It supplies a particular church and address for comparison with any Salem reference in a deed. It does not connect that congregation to the mountain cemetery, identify Lockwood as a member, or establish a relationship with the Ellen Street trustees. Those connections would need their own records.</w:t>
      </w:r>
      <w:r>
        <w:rPr>
          <w:sz w:val="18"/>
          <w:vertAlign w:val="superscript"/>
        </w:rPr>
        <w:t>82</w:t>
      </w:r>
    </w:p>
    <w:p>
      <w:r>
        <w:t>The 1908 directory keeps the Presbyterian mountain church near Lookout Inn, now with the Rev. Lewis Collins as pastor. New Salem remains a Chestnut Street entry, with the Rev. P. D. Broughton named as pastor. Even within that volume its address varies: 317 in the church list, 315 in the alphabetical and street listings. The street directory places it between Third and Fourth Streets. The personal listings add another discrepancy: Pleasant B. Broaden appears as New Salem's pastor, residing at 508 Harris Avenue in St. Elmo. Both name forms are printed in the volume; their relationship remains unresolved. These entries help distinguish a city congregation from the mountain references. They leave the Salem deed's identity unresolved, and the changed number from 1896 cannot by itself tell us whether the church moved or the numbering changed.</w:t>
      </w:r>
      <w:r>
        <w:rPr>
          <w:sz w:val="18"/>
          <w:vertAlign w:val="superscript"/>
        </w:rPr>
        <w:t>83</w:t>
      </w:r>
    </w:p>
    <w:p>
      <w:r>
        <w:t>The New Salem in the 1940 church directory is farther afield. Listed under Ocoee Baptist Association, it is in Soddy, with a claimed organization date of 1933 and the Rev. Frank Jenkins of Lupton City as pastor. Its place and date give it a separate starting point in the research. Finding the name Salem in another record will require following that record's people and land description; the name alone cannot connect the Soddy, Chestnut Street and mountain references.</w:t>
      </w:r>
      <w:r>
        <w:rPr>
          <w:sz w:val="18"/>
          <w:vertAlign w:val="superscript"/>
        </w:rPr>
        <w:t>84</w:t>
      </w:r>
    </w:p>
    <w:p>
      <w:r>
        <w:t>Another route passes through a pastor. Union Grove Missionary Baptist Church's published history says W. D. Clark had served First Baptist Church of Lookout Mountain before accepting Union Grove's call in October 1972. That recollection provides a specific connection for tracing the mountain congregation's later history. It does not say that its books moved with him.</w:t>
      </w:r>
      <w:r>
        <w:rPr>
          <w:sz w:val="18"/>
          <w:vertAlign w:val="superscript"/>
        </w:rPr>
        <w:t>85</w:t>
      </w:r>
    </w:p>
    <w:p>
      <w:r>
        <w:t>The land records preserve a separate religious affiliation. In September 1912, Anderson Bryant and A. E. Love conveyed an Ellen Street tract to themselves and Lizzie Dumas as trustees of the African Methodist Episcopal Zion Church in America. Dumas's name belongs in the account because the deed gives her a formal role in holding the church property. The instrument names the denomination and the trustees, but no local Salem congregation or cemetery.</w:t>
      </w:r>
      <w:r>
        <w:rPr>
          <w:sz w:val="18"/>
          <w:vertAlign w:val="superscript"/>
        </w:rPr>
        <w:t>86</w:t>
      </w:r>
    </w:p>
    <w:p>
      <w:r>
        <w:t>The Love names also appear in earlier purchases. In October 1906, John and S. Anna Troutt conveyed a lot on top of Lookout Mountain to A. E. Love and his wife, named in that deed as Georgia Ann Love. The price was $250. Fifty dollars was paid in cash, with four notes for the remaining two hundred dollars. The description gave a lot seventy-five feet by two hundred feet, beginning at a corner of land Troutt had acquired from W. A. Blount the previous year.</w:t>
      </w:r>
      <w:r>
        <w:rPr>
          <w:sz w:val="18"/>
          <w:vertAlign w:val="superscript"/>
        </w:rPr>
        <w:t>87</w:t>
      </w:r>
    </w:p>
    <w:p>
      <w:r>
        <w:t>Another deed, dated March 31, 1910, names A. E. Love and his wife Georgia as purchasers from Daniel Alewine. For six hundred dollars, they acquired Lot 33 in Block P of the Lookout Mountain Company's first subdivision. That description can be followed onto the Company's 1887 map. Number 33 lies between lots 34 and 32 along East Avenue, across the street from Block T. The map draws the mountain's edge behind the row and shows Whiteside Turnpike farther below it on the sheet.</w:t>
      </w:r>
      <w:r>
        <w:rPr>
          <w:sz w:val="18"/>
          <w:vertAlign w:val="superscript"/>
        </w:rPr>
        <w:t>88</w:t>
      </w:r>
      <w:r>
        <w:rPr>
          <w:sz w:val="18"/>
          <w:vertAlign w:val="superscript"/>
        </w:rPr>
        <w:t>,</w:t>
      </w:r>
      <w:r>
        <w:rPr>
          <w:sz w:val="18"/>
          <w:vertAlign w:val="superscript"/>
        </w:rPr>
        <w:t>89</w:t>
      </w:r>
    </w:p>
    <w:p>
      <w:r>
        <w:t>The church conveyance describes a different numbered tract: parts of three lots in Block 4 of the second subdivision, along Ellen Street. The later plat expressly lists the earlier lots it resubdivided; Lot 33 in Block P is not among them. Keeping those descriptions separate preserves the history of the purchases without turning every property associated with a trustee into church land. The deeds establish transactions. They do not tell us whether the Loves lived on either of the earlier lots, or connect those lots to the cemetery.</w:t>
      </w:r>
      <w:r>
        <w:rPr>
          <w:sz w:val="18"/>
          <w:vertAlign w:val="superscript"/>
        </w:rPr>
        <w:t>86</w:t>
      </w:r>
      <w:r>
        <w:rPr>
          <w:sz w:val="18"/>
          <w:vertAlign w:val="superscript"/>
        </w:rPr>
        <w:t>,</w:t>
      </w:r>
      <w:r>
        <w:rPr>
          <w:sz w:val="18"/>
          <w:vertAlign w:val="superscript"/>
        </w:rPr>
        <w:t>89</w:t>
      </w:r>
    </w:p>
    <w:p>
      <w:r>
        <w:t>Moore Sr.'s description of cemetery care has to be read alongside these church records. Asked whether a church, company or anyone else managed the ground, he answered, “Nobody only the citizens on the mountain.” His testimony puts that work among the residents. It does not prevent an individual such as Lockwood from belonging to a church, or a minister such as Dial from taking part in burials. It does prevent a church connection from serving, by itself, as proof of church management.</w:t>
      </w:r>
      <w:r>
        <w:rPr>
          <w:sz w:val="18"/>
          <w:vertAlign w:val="superscript"/>
        </w:rPr>
        <w:t>90</w:t>
      </w:r>
    </w:p>
    <w:p>
      <w:r>
        <w:t>The church records carry the inquiry beyond the three inscription entries. Flemister supplies a pastor to follow in First Baptist's history, while Magnolia Travis supplies a name attached to its books. Dial's later listings point toward another congregation and another set of minutes. The trustees' deed preserves a formal responsibility held by Lizzie Dumas and the two men named with her. These affiliations can help recover the lives of mountain residents. Moore's answer remains beside them, placing the cemetery's management among the citizens themselves.</w:t>
      </w:r>
      <w:r>
        <w:rPr>
          <w:sz w:val="18"/>
          <w:vertAlign w:val="superscript"/>
        </w:rPr>
        <w:t>90</w:t>
      </w:r>
    </w:p>
    <w:p>
      <w:pPr>
        <w:pStyle w:val="Heading1"/>
      </w:pPr>
      <w:r>
        <w:t>The ground in 2021</w:t>
      </w:r>
    </w:p>
    <w:p>
      <w:r>
        <w:t>When Vanderbilt's Spatial Analysis Research Laboratory surveyed the ground in August 2021, John Lockwood's stone was still standing. It was set in concrete near the junction of South Watauga Lane and Scenic Highway. The researchers also found a loose fragment of Rosia Ella Moore's marker. Two of the names recorded on the old cemetery survey could still be read on objects at the site.</w:t>
      </w:r>
      <w:r>
        <w:rPr>
          <w:sz w:val="18"/>
          <w:vertAlign w:val="superscript"/>
        </w:rPr>
        <w:t>91</w:t>
      </w:r>
    </w:p>
    <w:p>
      <w:r>
        <w:t>The standing stone offered a connection to Lockwood, but its setting needed caution. Community members told the researchers that it had been reestablished there within the preceding few decades. Their account did not fix the earlier position of the stone. A marker could preserve a name after its original relationship to a grave had become uncertain. The survey recorded both the visible object and that uncertainty.</w:t>
      </w:r>
      <w:r>
        <w:rPr>
          <w:sz w:val="18"/>
          <w:vertAlign w:val="superscript"/>
        </w:rPr>
        <w:t>91</w:t>
      </w:r>
    </w:p>
    <w:p>
      <w:r>
        <w:t>There were other signs of burial. The researchers observed roughly a dozen depressions, mainly toward the western side of the wooded ground. Several places had stones that appeared to mark the head or foot of a grave. A community member had already used a metal detector to flag possible burial locations. The team considered those flags together with the stones and depressions and marked seventeen potential sites.</w:t>
      </w:r>
      <w:r>
        <w:rPr>
          <w:sz w:val="18"/>
          <w:vertAlign w:val="superscript"/>
        </w:rPr>
        <w:t>91</w:t>
      </w:r>
    </w:p>
    <w:p>
      <w:r>
        <w:t>Seventeen was a count of the places flagged in that investigation. It did not replace the WPA's estimate of approximately two hundred graves, nor did it mean that radar had individually confirmed seventeen burials. The two records described different kinds of observation, made many decades apart. Some of the 2021 flags relied on surface features; some incorporated the earlier metal-detector work. Their numbering allowed the researchers to describe and photograph them without supplying the missing names.</w:t>
      </w:r>
      <w:r>
        <w:rPr>
          <w:sz w:val="18"/>
          <w:vertAlign w:val="superscript"/>
        </w:rPr>
        <w:t>91</w:t>
      </w:r>
      <w:r>
        <w:rPr>
          <w:sz w:val="18"/>
          <w:vertAlign w:val="superscript"/>
        </w:rPr>
        <w:t>,</w:t>
      </w:r>
      <w:r>
        <w:rPr>
          <w:sz w:val="18"/>
          <w:vertAlign w:val="superscript"/>
        </w:rPr>
        <w:t>92</w:t>
      </w:r>
    </w:p>
    <w:p>
      <w:r>
        <w:t>The old transcription also supplied the report's historical introduction. Here the records diverged. The 2021 authors gave the cemetery's period of use as approximately 1854–1914, citing the WPA. Their bibliography pointed to the same leaf, 31-A, that preserved the three names. Neither year appears on that leaf. Its fifty years of use and fifteen years of disuse do not produce the report's dates under either reading of the interval. The later account had carried forward the earlier source with a chronology that the cited page could not support.</w:t>
      </w:r>
      <w:r>
        <w:rPr>
          <w:sz w:val="18"/>
          <w:vertAlign w:val="superscript"/>
        </w:rPr>
        <w:t>93</w:t>
      </w:r>
    </w:p>
    <w:p>
      <w:r>
        <w:t>The court testimony supplied a direct check on the proposed endpoint. Moore said he had buried his daughter after the 1915 injunction. Whatever the beginning of the cemetery's use, a definite closing in 1914 would exclude a burial established in the court record. Nor could Dial's twenty-six years on the mountain supply a founding date: he had been describing his own residence. These statements belonged to the history with their original meanings intact.</w:t>
      </w:r>
      <w:r>
        <w:rPr>
          <w:sz w:val="18"/>
          <w:vertAlign w:val="superscript"/>
        </w:rPr>
        <w:t>94</w:t>
      </w:r>
    </w:p>
    <w:p>
      <w:r>
        <w:t>That discrepancy concerned the history the researchers brought to the site. Their observations of the ground were another contribution. Keeping the two apart made it possible to use the fieldwork without carrying an unsupported opening or closing year into the cemetery's next public account.</w:t>
      </w:r>
    </w:p>
    <w:p>
      <w:r>
        <w:t>The preservation society's question concerned the extent of the cemetery as well as its existence. It wanted to protect the ground with a small wall that would not disturb the burials. Before deciding where such a wall could go, the survey had to examine what lay beneath a wooded part of the town parcel opposite the post office.</w:t>
      </w:r>
      <w:r>
        <w:rPr>
          <w:sz w:val="18"/>
          <w:vertAlign w:val="superscript"/>
        </w:rPr>
        <w:t>95</w:t>
      </w:r>
    </w:p>
    <w:p>
      <w:r>
        <w:t>On August 9 and 10, the team collected ground-penetrating radar data in two large grids and a smaller targeted grid. In the large grids, parallel passes were spaced half a meter apart. The smaller grid lay beneath the trees where depressions and apparent grave markers had been observed. The highway interrupted the survey area: no data were collected on the road or beyond it.</w:t>
      </w:r>
      <w:r>
        <w:rPr>
          <w:sz w:val="18"/>
          <w:vertAlign w:val="superscript"/>
        </w:rPr>
        <w:t>95</w:t>
      </w:r>
    </w:p>
    <w:p>
      <w:r>
        <w:t>The instrument recorded variations beneath the surface. A buried object, a space left by decomposition or the disturbance caused by digging and refilling a grave could produce a response. So could things unrelated to burial. The researchers therefore looked for patterns: features with similar shapes, regular spacing and a shared alignment. The task required interpretation of the ground as a whole.</w:t>
      </w:r>
      <w:r>
        <w:rPr>
          <w:sz w:val="18"/>
          <w:vertAlign w:val="superscript"/>
        </w:rPr>
        <w:t>95</w:t>
      </w:r>
    </w:p>
    <w:p>
      <w:r>
        <w:t>About forty trees complicated that reading. Roots and the movement of moisture around them produced signals at different depths. In the shallowest layer, the report identified winding traces associated with roots. Deeper down, the trees' effects continued to obscure other features. A strong response was not enough by itself to identify a grave.</w:t>
      </w:r>
      <w:r>
        <w:rPr>
          <w:sz w:val="18"/>
          <w:vertAlign w:val="superscript"/>
        </w:rPr>
        <w:t>91</w:t>
      </w:r>
    </w:p>
    <w:p>
      <w:r>
        <w:t>One profile from the smaller grid showed four features the researchers labeled A through D. Their spacing and similar forms suggested possible burial features. The same illustration identified a tree disturbance and bedrock. These were interpretations drawn from the radar data, with the possible graves expressly left provisional.</w:t>
      </w:r>
      <w:r>
        <w:rPr>
          <w:sz w:val="18"/>
          <w:vertAlign w:val="superscript"/>
        </w:rPr>
        <w:t>96</w:t>
      </w:r>
    </w:p>
    <w:p>
      <w:r>
        <w:t>The authors also considered whether some groups of responses at different depths might represent stacked burials. They presented that as one possible explanation, not an established burial practice at Clift Station. Shallower responses had alternatives too: the ground might have lost soil, or the instrument might have been recording the surface depressions. Those possibilities remained in the report because the survey had not resolved them.</w:t>
      </w:r>
      <w:r>
        <w:rPr>
          <w:sz w:val="18"/>
          <w:vertAlign w:val="superscript"/>
        </w:rPr>
        <w:t>96</w:t>
      </w:r>
    </w:p>
    <w:p>
      <w:r>
        <w:t>Its conclusion about the place itself was firmer. Historical records, surviving markers, depressions and the geophysical evidence supported the presence of a historic cemetery. The investigators could not determine its precise limits. They proposed an approximate conservation outline around the likely cemetery ground, shown as a dotted red line on an aerial image.</w:t>
      </w:r>
      <w:r>
        <w:rPr>
          <w:sz w:val="18"/>
          <w:vertAlign w:val="superscript"/>
        </w:rPr>
        <w:t>97</w:t>
      </w:r>
    </w:p>
    <w:p>
      <w:r>
        <w:t>That line served a preservation purpose. It was not a recovered nineteenth-century property line or a complete inventory of graves. The report recommended construction confined to the surface, or work guided by professional archaeologists, so that a protective wall or fence would not disturb unidentified burials. It also noted early erosion near the western sidewalk and recommended measures that would protect the ground without digging into it.</w:t>
      </w:r>
      <w:r>
        <w:rPr>
          <w:sz w:val="18"/>
          <w:vertAlign w:val="superscript"/>
        </w:rPr>
        <w:t>97</w:t>
      </w:r>
    </w:p>
    <w:p>
      <w:r>
        <w:t>The report also recommended a sign identifying the cemetery for park visitors. That recognition could proceed while names and boundaries remained unresolved. Marking and protecting the place still required care for graves that the investigation had not located.</w:t>
      </w:r>
      <w:r>
        <w:rPr>
          <w:sz w:val="18"/>
          <w:vertAlign w:val="superscript"/>
        </w:rPr>
        <w:t>97</w:t>
      </w:r>
    </w:p>
    <w:p>
      <w:pPr>
        <w:pStyle w:val="Heading1"/>
      </w:pPr>
      <w:r>
        <w:t>A name for the ground</w:t>
      </w:r>
    </w:p>
    <w:p>
      <w:r>
        <w:t>A sign at Clift Station would have only a little room. The court file runs through questions, answers, affidavits, a sketch and orders. The cemetery survey puts three names beside an estimate of two hundred graves. The geophysical report adds photographs, profiles and an uncertain outline. A visitor could not be given all of that on a single marker. Choosing the words would mean deciding which part of the history the place should carry in public.</w:t>
      </w:r>
      <w:r>
        <w:rPr>
          <w:sz w:val="18"/>
          <w:vertAlign w:val="superscript"/>
        </w:rPr>
        <w:t>98</w:t>
      </w:r>
    </w:p>
    <w:p>
      <w:r>
        <w:t>The name was one thing the earlier survey had preserved: Lookout Mountain Cemetery, located at Clift Station. It joined the burial ground to a place people could identify. The three personal names beneath its heading did something more particular. Edward Stevens, John Lockwood and Rosia Ella Moore each had an entry. An epitaph, a church office and a pair of parents survived with them. Those details resisted the loss of individuality that came with an estimate of unnamed graves.</w:t>
      </w:r>
      <w:r>
        <w:rPr>
          <w:sz w:val="18"/>
          <w:vertAlign w:val="superscript"/>
        </w:rPr>
        <w:t>98</w:t>
      </w:r>
    </w:p>
    <w:p>
      <w:r>
        <w:t>The proposed marker could acknowledge the larger cemetery without making the three entries a complete list. It could also record the effort to continue using the ground in 1915. Moore's daughter's burial gave the lawsuit its urgency, but the complainants had asked for more than permission for one funeral. They sought access and continued use for Black residents of the mountain. The court record preserves that claim even though the final decree dismissed the bill and dissolved the injunction.</w:t>
      </w:r>
      <w:r>
        <w:rPr>
          <w:sz w:val="18"/>
          <w:vertAlign w:val="superscript"/>
        </w:rPr>
        <w:t>99</w:t>
      </w:r>
    </w:p>
    <w:p>
      <w:r>
        <w:t>There was care for this cemetery before there was a modern preservation project. During Moore's examination, counsel asked whether a church, company or anyone else looked after the burying ground. His answer was brief: “Nobody only the citizens on the mountain.” It did not name an organization or describe a maintenance schedule. It placed responsibility with people living around the cemetery.</w:t>
      </w:r>
      <w:r>
        <w:rPr>
          <w:sz w:val="18"/>
          <w:vertAlign w:val="superscript"/>
        </w:rPr>
        <w:t>100</w:t>
      </w:r>
    </w:p>
    <w:p>
      <w:r>
        <w:t>That answer changes how the earlier story can be told. A reader looking only for a named association, a subscription fund or a formal dedication could overlook the care that residents described in their testimony. They had buried relatives, dug graves and remembered where the dead lay. In the dispute, they made that knowledge part of the public record. The lawsuit had a legal purpose, but it also preserved relationships absent from the land descriptions: a husband and his wife, a father and his child, a man and his niece.</w:t>
      </w:r>
      <w:r>
        <w:rPr>
          <w:sz w:val="18"/>
          <w:vertAlign w:val="superscript"/>
        </w:rPr>
        <w:t>101</w:t>
      </w:r>
    </w:p>
    <w:p>
      <w:r>
        <w:t>The 1890 appeal for the Confederate graves nearby had made another form of care visible. It named a subscription committee, a prospective donor and a proposed builder of a fence. Those names and promises provide leads into what happened next. They do not establish that every improvement was completed. Nor does the greater detail about a formal campaign justify writing that the Black cemetery had received no care. Moore's answer and the other witnesses' accounts prevent that easy conclusion.</w:t>
      </w:r>
      <w:r>
        <w:rPr>
          <w:sz w:val="18"/>
          <w:vertAlign w:val="superscript"/>
        </w:rPr>
        <w:t>100</w:t>
      </w:r>
      <w:r>
        <w:rPr>
          <w:sz w:val="18"/>
          <w:vertAlign w:val="superscript"/>
        </w:rPr>
        <w:t>,</w:t>
      </w:r>
      <w:r>
        <w:rPr>
          <w:sz w:val="18"/>
          <w:vertAlign w:val="superscript"/>
        </w:rPr>
        <w:t>101</w:t>
      </w:r>
      <w:r>
        <w:rPr>
          <w:sz w:val="18"/>
          <w:vertAlign w:val="superscript"/>
        </w:rPr>
        <w:t>,</w:t>
      </w:r>
      <w:r>
        <w:rPr>
          <w:sz w:val="18"/>
          <w:vertAlign w:val="superscript"/>
        </w:rPr>
        <w:t>102</w:t>
      </w:r>
    </w:p>
    <w:p>
      <w:r>
        <w:t>By 2021 the practical question included how to protect ground whose limits could not be determined precisely. The investigators recommended identifying the cemetery for visitors and guarding it against damage. They also recorded early erosion near the western sidewalk. Recognition therefore had a physical consequence: people responsible for the park needed to know that a wooded area contained graves, including graves the survey had not individually located.</w:t>
      </w:r>
      <w:r>
        <w:rPr>
          <w:sz w:val="18"/>
          <w:vertAlign w:val="superscript"/>
        </w:rPr>
        <w:t>103</w:t>
      </w:r>
    </w:p>
    <w:p>
      <w:r>
        <w:t>A protective boundary and an inscription would do different work. The boundary could guide care of the ground; the words could explain why that care was owed. Neither required a claim that every name had been recovered. Both required restraint about what had been found. The report's approximate outline could not promise that no grave lay outside it, just as a short account of the 1915 injunction could not explain away the later dismissal or settle the daughter's fate.</w:t>
      </w:r>
      <w:r>
        <w:rPr>
          <w:sz w:val="18"/>
          <w:vertAlign w:val="superscript"/>
        </w:rPr>
        <w:t>99</w:t>
      </w:r>
      <w:r>
        <w:rPr>
          <w:sz w:val="18"/>
          <w:vertAlign w:val="superscript"/>
        </w:rPr>
        <w:t>,</w:t>
      </w:r>
      <w:r>
        <w:rPr>
          <w:sz w:val="18"/>
          <w:vertAlign w:val="superscript"/>
        </w:rPr>
        <w:t>103</w:t>
      </w:r>
    </w:p>
    <w:p>
      <w:r>
        <w:t>The surviving record identifies a burial place and the Black community's effort to defend its use. A marker can recognize that history while the search for names continues. The longer account can preserve the witnesses' words and follow the individual lives still to be recovered.</w:t>
      </w:r>
    </w:p>
    <w:p>
      <w:pPr>
        <w:pStyle w:val="Heading1"/>
        <w:pageBreakBefore w:val="0"/>
      </w:pPr>
      <w:r>
        <w:t>Source notes</w:t>
      </w:r>
    </w:p>
    <w:p>
      <w:pPr>
        <w:spacing w:line="264" w:lineRule="auto" w:after="100"/>
        <w:ind w:left="360" w:hanging="360"/>
      </w:pPr>
      <w:r>
        <w:rPr>
          <w:sz w:val="20"/>
        </w:rPr>
        <w:t xml:space="preserve">1. </w:t>
      </w:r>
      <w:r>
        <w:rPr>
          <w:b/>
          <w:sz w:val="20"/>
        </w:rPr>
        <w:t>Documented pleading:</w:t>
      </w:r>
      <w:r>
        <w:rPr>
          <w:sz w:val="20"/>
        </w:rPr>
        <w:t xml:space="preserve"> Hamilton County Chancery Court, </w:t>
      </w:r>
      <w:r>
        <w:rPr>
          <w:i/>
          <w:sz w:val="20"/>
        </w:rPr>
        <w:t>Isaac Moore Sr. et al. v. H. Clay Evans et al.</w:t>
      </w:r>
      <w:r>
        <w:rPr>
          <w:sz w:val="20"/>
        </w:rPr>
        <w:t xml:space="preserve">, No. 15249, complaint, July 1915, p. 3, sections V–VI, </w:t>
      </w:r>
      <w:hyperlink r:id="rId9">
        <w:r>
          <w:rPr>
            <w:color w:val="000000"/>
            <w:u w:val="single"/>
            <w:sz w:val="20"/>
          </w:rPr>
          <w:t>IMG_0607</w:t>
        </w:r>
      </w:hyperlink>
      <w:r>
        <w:rPr>
          <w:sz w:val="20"/>
        </w:rPr>
        <w:t>. Allegations remain attributed to the complainants.</w:t>
      </w:r>
    </w:p>
    <w:p>
      <w:pPr>
        <w:spacing w:line="264" w:lineRule="auto" w:after="100"/>
        <w:ind w:left="360" w:hanging="360"/>
      </w:pPr>
      <w:r>
        <w:rPr>
          <w:sz w:val="20"/>
        </w:rPr>
        <w:t xml:space="preserve">2. </w:t>
      </w:r>
      <w:r>
        <w:rPr>
          <w:b/>
          <w:sz w:val="20"/>
        </w:rPr>
        <w:t>Documented pleading and sworn statements:</w:t>
      </w:r>
      <w:r>
        <w:rPr>
          <w:sz w:val="20"/>
        </w:rPr>
        <w:t xml:space="preserve"> Hamilton County Chancery Court, </w:t>
      </w:r>
      <w:r>
        <w:rPr>
          <w:i/>
          <w:sz w:val="20"/>
        </w:rPr>
        <w:t>Isaac Moore Sr. et al. v. H. Clay Evans et al.</w:t>
      </w:r>
      <w:r>
        <w:rPr>
          <w:sz w:val="20"/>
        </w:rPr>
        <w:t xml:space="preserve">, No. 15249, original bill, caption and historical allegations, </w:t>
      </w:r>
      <w:hyperlink r:id="rId10">
        <w:r>
          <w:rPr>
            <w:color w:val="000000"/>
            <w:u w:val="single"/>
            <w:sz w:val="20"/>
          </w:rPr>
          <w:t>IMG_0605</w:t>
        </w:r>
      </w:hyperlink>
      <w:r>
        <w:rPr>
          <w:sz w:val="20"/>
        </w:rPr>
        <w:t xml:space="preserve"> and </w:t>
      </w:r>
      <w:hyperlink r:id="rId11">
        <w:r>
          <w:rPr>
            <w:color w:val="000000"/>
            <w:u w:val="single"/>
            <w:sz w:val="20"/>
          </w:rPr>
          <w:t>IMG_0606</w:t>
        </w:r>
      </w:hyperlink>
      <w:r>
        <w:rPr>
          <w:sz w:val="20"/>
        </w:rPr>
        <w:t>; verification and poverty oath, July 27, 1915, original photograph IMG_0609, Rebeca Allred research collection, preserved locally. The altered names and four signatures identify the signers on these leaves; no reason or separate order for the changes is established. Personal knowledge is limited in the verification to the last four years; older allegations are stated on belief after inquiry. The poverty oath records the signers' declaration, not an independent accounting or an order waiving costs.</w:t>
      </w:r>
    </w:p>
    <w:p>
      <w:pPr>
        <w:spacing w:line="264" w:lineRule="auto" w:after="100"/>
        <w:ind w:left="360" w:hanging="360"/>
      </w:pPr>
      <w:r>
        <w:rPr>
          <w:sz w:val="20"/>
        </w:rPr>
        <w:t xml:space="preserve">3. </w:t>
      </w:r>
      <w:r>
        <w:rPr>
          <w:b/>
          <w:sz w:val="20"/>
        </w:rPr>
        <w:t>Documented sworn statement:</w:t>
      </w:r>
      <w:r>
        <w:rPr>
          <w:sz w:val="20"/>
        </w:rPr>
        <w:t xml:space="preserve"> same case, oath concerning inability to give security for an injunction bond, July 27, 1915, beginning at the foot of original photograph IMG_0609 and continuing on printed p. 5, </w:t>
      </w:r>
      <w:hyperlink r:id="rId12">
        <w:r>
          <w:rPr>
            <w:color w:val="000000"/>
            <w:u w:val="single"/>
            <w:sz w:val="20"/>
          </w:rPr>
          <w:t>IMG_0610</w:t>
        </w:r>
      </w:hyperlink>
      <w:r>
        <w:rPr>
          <w:sz w:val="20"/>
        </w:rPr>
        <w:t>. Read with the next day's conditional fiat, IMG_0608. These pages do not establish a waiver of bond, identify a surety, or show how any bond was furnished.</w:t>
      </w:r>
    </w:p>
    <w:p>
      <w:pPr>
        <w:spacing w:line="264" w:lineRule="auto" w:after="100"/>
        <w:ind w:left="360" w:hanging="360"/>
      </w:pPr>
      <w:r>
        <w:rPr>
          <w:sz w:val="20"/>
        </w:rPr>
        <w:t xml:space="preserve">4. </w:t>
      </w:r>
      <w:r>
        <w:rPr>
          <w:b/>
          <w:sz w:val="20"/>
        </w:rPr>
        <w:t>Documented order:</w:t>
      </w:r>
      <w:r>
        <w:rPr>
          <w:sz w:val="20"/>
        </w:rPr>
        <w:t xml:space="preserve"> W. B. Garvin, fiat in the same case, July 28, 1915, 9:10 a.m., </w:t>
      </w:r>
      <w:hyperlink r:id="rId13">
        <w:r>
          <w:rPr>
            <w:color w:val="000000"/>
            <w:u w:val="single"/>
            <w:sz w:val="20"/>
          </w:rPr>
          <w:t>IMG_0608</w:t>
        </w:r>
      </w:hyperlink>
      <w:r>
        <w:rPr>
          <w:sz w:val="20"/>
        </w:rPr>
        <w:t>. The partly amended bond amount is not used. The conditional removal provision does not prove that removal occurred.</w:t>
      </w:r>
    </w:p>
    <w:p>
      <w:pPr>
        <w:spacing w:line="264" w:lineRule="auto" w:after="100"/>
        <w:ind w:left="360" w:hanging="360"/>
      </w:pPr>
      <w:r>
        <w:rPr>
          <w:sz w:val="20"/>
        </w:rPr>
        <w:t xml:space="preserve">5. </w:t>
      </w:r>
      <w:r>
        <w:rPr>
          <w:b/>
          <w:sz w:val="20"/>
        </w:rPr>
        <w:t>Documented filing endorsement:</w:t>
      </w:r>
      <w:r>
        <w:rPr>
          <w:sz w:val="20"/>
        </w:rPr>
        <w:t xml:space="preserve"> same case, original bill cover, filed July 28, 1915, </w:t>
      </w:r>
      <w:hyperlink r:id="rId14">
        <w:r>
          <w:rPr>
            <w:color w:val="000000"/>
            <w:u w:val="single"/>
            <w:sz w:val="20"/>
          </w:rPr>
          <w:t>IMG_0615</w:t>
        </w:r>
      </w:hyperlink>
      <w:r>
        <w:rPr>
          <w:sz w:val="20"/>
        </w:rPr>
        <w:t>. The stamp dates filing; it does not establish the time of service or burial.</w:t>
      </w:r>
    </w:p>
    <w:p>
      <w:pPr>
        <w:spacing w:line="264" w:lineRule="auto" w:after="100"/>
        <w:ind w:left="360" w:hanging="360"/>
      </w:pPr>
      <w:r>
        <w:rPr>
          <w:sz w:val="20"/>
        </w:rPr>
        <w:t xml:space="preserve">6. </w:t>
      </w:r>
      <w:r>
        <w:rPr>
          <w:b/>
          <w:sz w:val="20"/>
        </w:rPr>
        <w:t>Documented writ:</w:t>
      </w:r>
      <w:r>
        <w:rPr>
          <w:sz w:val="20"/>
        </w:rPr>
        <w:t xml:space="preserve"> same case, writ of injunction, 1915, </w:t>
      </w:r>
      <w:hyperlink r:id="rId15">
        <w:r>
          <w:rPr>
            <w:color w:val="000000"/>
            <w:u w:val="single"/>
            <w:sz w:val="20"/>
          </w:rPr>
          <w:t>IMG_0591</w:t>
        </w:r>
      </w:hyperlink>
      <w:r>
        <w:rPr>
          <w:sz w:val="20"/>
        </w:rPr>
        <w:t>. Its form witness line reads first Monday in June 1915; that attestation is retained separately from the July filing and fiat dates. No separate service-return date is visible on the photographed face.</w:t>
      </w:r>
    </w:p>
    <w:p>
      <w:pPr>
        <w:spacing w:line="264" w:lineRule="auto" w:after="100"/>
        <w:ind w:left="360" w:hanging="360"/>
      </w:pPr>
      <w:r>
        <w:rPr>
          <w:sz w:val="20"/>
        </w:rPr>
        <w:t xml:space="preserve">7. </w:t>
      </w:r>
      <w:r>
        <w:rPr>
          <w:b/>
          <w:sz w:val="20"/>
        </w:rPr>
        <w:t>Documented testimony:</w:t>
      </w:r>
      <w:r>
        <w:rPr>
          <w:sz w:val="20"/>
        </w:rPr>
        <w:t xml:space="preserve"> Isaac Moore Sr., same case, p. 1, questions 3–6, 1915–1916 deposition papers, </w:t>
      </w:r>
      <w:hyperlink r:id="rId16">
        <w:r>
          <w:rPr>
            <w:color w:val="000000"/>
            <w:u w:val="single"/>
            <w:sz w:val="20"/>
          </w:rPr>
          <w:t>IMG_0553</w:t>
        </w:r>
      </w:hyperlink>
      <w:r>
        <w:rPr>
          <w:sz w:val="20"/>
        </w:rPr>
        <w:t>. His daughter's personal name and her grave's exact position are not supplied on this page.</w:t>
      </w:r>
    </w:p>
    <w:p>
      <w:pPr>
        <w:spacing w:line="264" w:lineRule="auto" w:after="100"/>
        <w:ind w:left="360" w:hanging="360"/>
      </w:pPr>
      <w:r>
        <w:rPr>
          <w:sz w:val="20"/>
        </w:rPr>
        <w:t xml:space="preserve">8. </w:t>
      </w:r>
      <w:r>
        <w:rPr>
          <w:b/>
          <w:sz w:val="20"/>
        </w:rPr>
        <w:t>Documented testimony:</w:t>
      </w:r>
      <w:r>
        <w:rPr>
          <w:sz w:val="20"/>
        </w:rPr>
        <w:t xml:space="preserve"> Hamilton County Chancery Court, </w:t>
      </w:r>
      <w:r>
        <w:rPr>
          <w:i/>
          <w:sz w:val="20"/>
        </w:rPr>
        <w:t>Isaac Moore Sr. et al. v. H. Clay Evans et al.</w:t>
      </w:r>
      <w:r>
        <w:rPr>
          <w:sz w:val="20"/>
        </w:rPr>
        <w:t xml:space="preserve">, No. 15249, Moore Sr. cross-examination, 1915–1916 case papers, pp. 2–3, questions 1–3, </w:t>
      </w:r>
      <w:hyperlink r:id="rId17">
        <w:r>
          <w:rPr>
            <w:color w:val="000000"/>
            <w:u w:val="single"/>
            <w:sz w:val="20"/>
          </w:rPr>
          <w:t>IMG_0554</w:t>
        </w:r>
      </w:hyperlink>
      <w:r>
        <w:rPr>
          <w:sz w:val="20"/>
        </w:rPr>
        <w:t xml:space="preserve"> and </w:t>
      </w:r>
      <w:hyperlink r:id="rId18">
        <w:r>
          <w:rPr>
            <w:color w:val="000000"/>
            <w:u w:val="single"/>
            <w:sz w:val="20"/>
          </w:rPr>
          <w:t>IMG_0555</w:t>
        </w:r>
      </w:hyperlink>
      <w:r>
        <w:rPr>
          <w:sz w:val="20"/>
        </w:rPr>
        <w:t>. The account of the officer's direction is Moore's testimony, not an independently identified officer's report.</w:t>
      </w:r>
    </w:p>
    <w:p>
      <w:pPr>
        <w:spacing w:line="264" w:lineRule="auto" w:after="100"/>
        <w:ind w:left="360" w:hanging="360"/>
      </w:pPr>
      <w:r>
        <w:rPr>
          <w:sz w:val="20"/>
        </w:rPr>
        <w:t xml:space="preserve">9. </w:t>
      </w:r>
      <w:r>
        <w:rPr>
          <w:b/>
          <w:sz w:val="20"/>
        </w:rPr>
        <w:t>Documented testimony:</w:t>
      </w:r>
      <w:r>
        <w:rPr>
          <w:sz w:val="20"/>
        </w:rPr>
        <w:t xml:space="preserve"> Same case and witness, p. 3, questions 4–9, </w:t>
      </w:r>
      <w:hyperlink r:id="rId18">
        <w:r>
          <w:rPr>
            <w:color w:val="000000"/>
            <w:u w:val="single"/>
            <w:sz w:val="20"/>
          </w:rPr>
          <w:t>IMG_0555</w:t>
        </w:r>
      </w:hyperlink>
      <w:r>
        <w:rPr>
          <w:sz w:val="20"/>
        </w:rPr>
        <w:t>. Quotation punctuation lightly regularized; wording retained. No modern gate position is established.</w:t>
      </w:r>
    </w:p>
    <w:p>
      <w:pPr>
        <w:spacing w:line="264" w:lineRule="auto" w:after="100"/>
        <w:ind w:left="360" w:hanging="360"/>
      </w:pPr>
      <w:r>
        <w:rPr>
          <w:sz w:val="20"/>
        </w:rPr>
        <w:t xml:space="preserve">10. </w:t>
      </w:r>
      <w:r>
        <w:rPr>
          <w:b/>
          <w:sz w:val="20"/>
        </w:rPr>
        <w:t>Documented testimony:</w:t>
      </w:r>
      <w:r>
        <w:rPr>
          <w:sz w:val="20"/>
        </w:rPr>
        <w:t xml:space="preserve"> Same case and witness, pp. 4–5, questions 12 and 14–16, </w:t>
      </w:r>
      <w:hyperlink r:id="rId19">
        <w:r>
          <w:rPr>
            <w:color w:val="000000"/>
            <w:u w:val="single"/>
            <w:sz w:val="20"/>
          </w:rPr>
          <w:t>IMG_0556</w:t>
        </w:r>
      </w:hyperlink>
      <w:r>
        <w:rPr>
          <w:sz w:val="20"/>
        </w:rPr>
        <w:t xml:space="preserve"> and </w:t>
      </w:r>
      <w:hyperlink r:id="rId20">
        <w:r>
          <w:rPr>
            <w:color w:val="000000"/>
            <w:u w:val="single"/>
            <w:sz w:val="20"/>
          </w:rPr>
          <w:t>IMG_0557</w:t>
        </w:r>
      </w:hyperlink>
      <w:r>
        <w:rPr>
          <w:sz w:val="20"/>
        </w:rPr>
        <w:t>. Southeast is relative to the existing graves under the question's hypothetical enclosure, not the modern parcel or a surveyed boundary.</w:t>
      </w:r>
    </w:p>
    <w:p>
      <w:pPr>
        <w:spacing w:line="264" w:lineRule="auto" w:after="100"/>
        <w:ind w:left="360" w:hanging="360"/>
      </w:pPr>
      <w:r>
        <w:rPr>
          <w:sz w:val="20"/>
        </w:rPr>
        <w:t xml:space="preserve">11. </w:t>
      </w:r>
      <w:r>
        <w:rPr>
          <w:b/>
          <w:sz w:val="20"/>
        </w:rPr>
        <w:t>Documented testimony:</w:t>
      </w:r>
      <w:r>
        <w:rPr>
          <w:sz w:val="20"/>
        </w:rPr>
        <w:t xml:space="preserve"> Same case and witness, p. 5, questions 17–18, </w:t>
      </w:r>
      <w:hyperlink r:id="rId20">
        <w:r>
          <w:rPr>
            <w:color w:val="000000"/>
            <w:u w:val="single"/>
            <w:sz w:val="20"/>
          </w:rPr>
          <w:t>IMG_0557</w:t>
        </w:r>
      </w:hyperlink>
      <w:r>
        <w:rPr>
          <w:sz w:val="20"/>
        </w:rPr>
        <w:t>. The fifty yards is an estimate. The answer about disturbance is expressly limited to Moore's knowledge at the time; it cannot establish the absence of earlier or later disturbance.</w:t>
      </w:r>
    </w:p>
    <w:p>
      <w:pPr>
        <w:spacing w:line="264" w:lineRule="auto" w:after="100"/>
        <w:ind w:left="360" w:hanging="360"/>
      </w:pPr>
      <w:r>
        <w:rPr>
          <w:sz w:val="20"/>
        </w:rPr>
        <w:t xml:space="preserve">12. </w:t>
      </w:r>
      <w:r>
        <w:rPr>
          <w:b/>
          <w:sz w:val="20"/>
        </w:rPr>
        <w:t>Documented testimony:</w:t>
      </w:r>
      <w:r>
        <w:rPr>
          <w:sz w:val="20"/>
        </w:rPr>
        <w:t xml:space="preserve"> Same case and witness, p. 4, question 13, </w:t>
      </w:r>
      <w:hyperlink r:id="rId19">
        <w:r>
          <w:rPr>
            <w:color w:val="000000"/>
            <w:u w:val="single"/>
            <w:sz w:val="20"/>
          </w:rPr>
          <w:t>IMG_0556</w:t>
        </w:r>
      </w:hyperlink>
      <w:r>
        <w:rPr>
          <w:sz w:val="20"/>
        </w:rPr>
        <w:t>. This is Moore's description of management; it does not exclude every possible historical church connection.</w:t>
      </w:r>
    </w:p>
    <w:p>
      <w:pPr>
        <w:spacing w:line="264" w:lineRule="auto" w:after="100"/>
        <w:ind w:left="360" w:hanging="360"/>
      </w:pPr>
      <w:r>
        <w:rPr>
          <w:sz w:val="20"/>
        </w:rPr>
        <w:t xml:space="preserve">13. </w:t>
      </w:r>
      <w:r>
        <w:rPr>
          <w:b/>
          <w:sz w:val="20"/>
        </w:rPr>
        <w:t>Documented testimony:</w:t>
      </w:r>
      <w:r>
        <w:rPr>
          <w:sz w:val="20"/>
        </w:rPr>
        <w:t xml:space="preserve"> Same case and witness, p. 1, questions 1–2, </w:t>
      </w:r>
      <w:hyperlink r:id="rId16">
        <w:r>
          <w:rPr>
            <w:color w:val="000000"/>
            <w:u w:val="single"/>
            <w:sz w:val="20"/>
          </w:rPr>
          <w:t>IMG_0553</w:t>
        </w:r>
      </w:hyperlink>
      <w:r>
        <w:rPr>
          <w:sz w:val="20"/>
        </w:rPr>
        <w:t>. The deposition heading identifies the witness as Isaac Moore Sr.; these are not Isaac Moore Jr.'s later answers concerning separate exhibits.</w:t>
      </w:r>
    </w:p>
    <w:p>
      <w:pPr>
        <w:spacing w:line="264" w:lineRule="auto" w:after="100"/>
        <w:ind w:left="360" w:hanging="360"/>
      </w:pPr>
      <w:r>
        <w:rPr>
          <w:sz w:val="20"/>
        </w:rPr>
        <w:t xml:space="preserve">14. </w:t>
      </w:r>
      <w:r>
        <w:rPr>
          <w:b/>
          <w:sz w:val="20"/>
        </w:rPr>
        <w:t>Documented testimony:</w:t>
      </w:r>
      <w:r>
        <w:rPr>
          <w:sz w:val="20"/>
        </w:rPr>
        <w:t xml:space="preserve"> Hamilton County Chancery Court, </w:t>
      </w:r>
      <w:r>
        <w:rPr>
          <w:i/>
          <w:sz w:val="20"/>
        </w:rPr>
        <w:t>Isaac Moore Sr. et al. v. H. Clay Evans et al.</w:t>
      </w:r>
      <w:r>
        <w:rPr>
          <w:sz w:val="20"/>
        </w:rPr>
        <w:t xml:space="preserve">, No. 15249, testimony of </w:t>
      </w:r>
      <w:r>
        <w:rPr>
          <w:b/>
          <w:sz w:val="20"/>
        </w:rPr>
        <w:t>Paul Thomas</w:t>
      </w:r>
      <w:r>
        <w:rPr>
          <w:sz w:val="20"/>
        </w:rPr>
        <w:t xml:space="preserve">, p. 6, 1915–1916 case file, </w:t>
      </w:r>
      <w:hyperlink r:id="rId21">
        <w:r>
          <w:rPr>
            <w:color w:val="000000"/>
            <w:u w:val="single"/>
            <w:sz w:val="20"/>
          </w:rPr>
          <w:t>image 0559</w:t>
        </w:r>
      </w:hyperlink>
      <w:r>
        <w:rPr>
          <w:sz w:val="20"/>
        </w:rPr>
        <w:t>. Wife's name not given. His own burial is not established here.</w:t>
      </w:r>
    </w:p>
    <w:p>
      <w:pPr>
        <w:spacing w:line="264" w:lineRule="auto" w:after="100"/>
        <w:ind w:left="360" w:hanging="360"/>
      </w:pPr>
      <w:r>
        <w:rPr>
          <w:sz w:val="20"/>
        </w:rPr>
        <w:t xml:space="preserve">15. </w:t>
      </w:r>
      <w:r>
        <w:rPr>
          <w:b/>
          <w:sz w:val="20"/>
        </w:rPr>
        <w:t>Documented testimony:</w:t>
      </w:r>
      <w:r>
        <w:rPr>
          <w:sz w:val="20"/>
        </w:rPr>
        <w:t xml:space="preserve"> same case, Isaac Moore Sr., p. 2, </w:t>
      </w:r>
      <w:hyperlink r:id="rId17">
        <w:r>
          <w:rPr>
            <w:color w:val="000000"/>
            <w:u w:val="single"/>
            <w:sz w:val="20"/>
          </w:rPr>
          <w:t>image 0554</w:t>
        </w:r>
      </w:hyperlink>
      <w:r>
        <w:rPr>
          <w:sz w:val="20"/>
        </w:rPr>
        <w:t>. The niece has not been identified as Kissie Polite.</w:t>
      </w:r>
    </w:p>
    <w:p>
      <w:pPr>
        <w:spacing w:line="264" w:lineRule="auto" w:after="100"/>
        <w:ind w:left="360" w:hanging="360"/>
      </w:pPr>
      <w:r>
        <w:rPr>
          <w:sz w:val="20"/>
        </w:rPr>
        <w:t xml:space="preserve">16. </w:t>
      </w:r>
      <w:r>
        <w:rPr>
          <w:b/>
          <w:sz w:val="20"/>
        </w:rPr>
        <w:t>Documented testimony:</w:t>
      </w:r>
      <w:r>
        <w:rPr>
          <w:sz w:val="20"/>
        </w:rPr>
        <w:t xml:space="preserve"> same case, Rev. E. H. Dial, pp. 9–11, </w:t>
      </w:r>
      <w:hyperlink r:id="rId22">
        <w:r>
          <w:rPr>
            <w:color w:val="000000"/>
            <w:u w:val="single"/>
            <w:sz w:val="20"/>
          </w:rPr>
          <w:t>image 0563</w:t>
        </w:r>
      </w:hyperlink>
      <w:r>
        <w:rPr>
          <w:sz w:val="20"/>
        </w:rPr>
        <w:t xml:space="preserve">, </w:t>
      </w:r>
      <w:hyperlink r:id="rId23">
        <w:r>
          <w:rPr>
            <w:color w:val="000000"/>
            <w:u w:val="single"/>
            <w:sz w:val="20"/>
          </w:rPr>
          <w:t>image 0565</w:t>
        </w:r>
      </w:hyperlink>
      <w:r>
        <w:rPr>
          <w:sz w:val="20"/>
        </w:rPr>
        <w:t>. His residence and recollections do not establish a founding year; estimated child-burial date is inferred, about 1892–1893.</w:t>
      </w:r>
    </w:p>
    <w:p>
      <w:pPr>
        <w:spacing w:line="264" w:lineRule="auto" w:after="100"/>
        <w:ind w:left="360" w:hanging="360"/>
      </w:pPr>
      <w:r>
        <w:rPr>
          <w:sz w:val="20"/>
        </w:rPr>
        <w:t xml:space="preserve">17. </w:t>
      </w:r>
      <w:r>
        <w:rPr>
          <w:b/>
          <w:sz w:val="20"/>
        </w:rPr>
        <w:t>Documented testimony; Inferred comparison of access and claimed right:</w:t>
      </w:r>
      <w:r>
        <w:rPr>
          <w:sz w:val="20"/>
        </w:rPr>
        <w:t xml:space="preserve"> Hamilton County Chancery Court, </w:t>
      </w:r>
      <w:r>
        <w:rPr>
          <w:i/>
          <w:sz w:val="20"/>
        </w:rPr>
        <w:t>Isaac Moore Sr. et al. v. H. Clay Evans et al.</w:t>
      </w:r>
      <w:r>
        <w:rPr>
          <w:sz w:val="20"/>
        </w:rPr>
        <w:t xml:space="preserve">, No. 15249, Paul Thomas cross-examination, pp. 6–8, questions 1–7, </w:t>
      </w:r>
      <w:hyperlink r:id="rId21">
        <w:r>
          <w:rPr>
            <w:color w:val="000000"/>
            <w:u w:val="single"/>
            <w:sz w:val="20"/>
          </w:rPr>
          <w:t>IMG_0559</w:t>
        </w:r>
      </w:hyperlink>
      <w:r>
        <w:rPr>
          <w:sz w:val="20"/>
        </w:rPr>
        <w:t xml:space="preserve">, </w:t>
      </w:r>
      <w:hyperlink r:id="rId24">
        <w:r>
          <w:rPr>
            <w:color w:val="000000"/>
            <w:u w:val="single"/>
            <w:sz w:val="20"/>
          </w:rPr>
          <w:t>IMG_0560</w:t>
        </w:r>
      </w:hyperlink>
      <w:r>
        <w:rPr>
          <w:sz w:val="20"/>
        </w:rPr>
        <w:t xml:space="preserve">, </w:t>
      </w:r>
      <w:hyperlink r:id="rId25">
        <w:r>
          <w:rPr>
            <w:color w:val="000000"/>
            <w:u w:val="single"/>
            <w:sz w:val="20"/>
          </w:rPr>
          <w:t>IMG_0561</w:t>
        </w:r>
      </w:hyperlink>
      <w:r>
        <w:rPr>
          <w:sz w:val="20"/>
        </w:rPr>
        <w:t>. Complete Thomas examination visually checked September 22, 2026; enlarged marginal jurat read September 23 as January 18, 1916. This dates the sworn subscription. Distances are his estimates with different stated starting points; no modern address, road alignment or cemetery boundary is established. His statement that he had seen no cemetery fence does not resolve the nature or date of the larger field enclosure. Quotation wording retained, punctuation regularized.</w:t>
      </w:r>
    </w:p>
    <w:p>
      <w:pPr>
        <w:spacing w:line="264" w:lineRule="auto" w:after="100"/>
        <w:ind w:left="360" w:hanging="360"/>
      </w:pPr>
      <w:r>
        <w:rPr>
          <w:sz w:val="20"/>
        </w:rPr>
        <w:t xml:space="preserve">18. </w:t>
      </w:r>
      <w:r>
        <w:rPr>
          <w:b/>
          <w:sz w:val="20"/>
        </w:rPr>
        <w:t>Documented testimony; Inferred reading of the examination's sequence:</w:t>
      </w:r>
      <w:r>
        <w:rPr>
          <w:sz w:val="20"/>
        </w:rPr>
        <w:t xml:space="preserve"> Same case, Rev. E. H. Dial, pp. 10–11, cross-examination questions 1–6 and redirect questions 1–2, </w:t>
      </w:r>
      <w:hyperlink r:id="rId26">
        <w:r>
          <w:rPr>
            <w:color w:val="000000"/>
            <w:u w:val="single"/>
            <w:sz w:val="20"/>
          </w:rPr>
          <w:t>IMG_0564</w:t>
        </w:r>
      </w:hyperlink>
      <w:r>
        <w:rPr>
          <w:sz w:val="20"/>
        </w:rPr>
        <w:t xml:space="preserve">, </w:t>
      </w:r>
      <w:hyperlink r:id="rId23">
        <w:r>
          <w:rPr>
            <w:color w:val="000000"/>
            <w:u w:val="single"/>
            <w:sz w:val="20"/>
          </w:rPr>
          <w:t>IMG_0565</w:t>
        </w:r>
      </w:hyperlink>
      <w:r>
        <w:rPr>
          <w:sz w:val="20"/>
        </w:rPr>
        <w:t>, images checked September 22, 2026. The Forest Hills assertions are the examiner's questions and Dial's answers, not an independent cemetery-policy or fee record. No personal motive, transport expense, offer of a lot, removal order to Forest Hills, or burial of Dial himself is established by this exchange. Dial's separate estimate of about a hundred people buried at Clift, direct question 5 on p. 10, is not a counted inventory.</w:t>
      </w:r>
    </w:p>
    <w:p>
      <w:pPr>
        <w:spacing w:line="264" w:lineRule="auto" w:after="100"/>
        <w:ind w:left="360" w:hanging="360"/>
      </w:pPr>
      <w:r>
        <w:rPr>
          <w:sz w:val="20"/>
        </w:rPr>
        <w:t xml:space="preserve">19. </w:t>
      </w:r>
      <w:r>
        <w:rPr>
          <w:b/>
          <w:sz w:val="20"/>
        </w:rPr>
        <w:t>Documented sworn recollection; Inferred calendar dates:</w:t>
      </w:r>
      <w:r>
        <w:rPr>
          <w:sz w:val="20"/>
        </w:rPr>
        <w:t xml:space="preserve"> Bill Pugh, direct examination, lower handwritten p. 8 and signed closing, sworn and subscribed January 18, 1916, Hamilton County Chancery Court, </w:t>
      </w:r>
      <w:r>
        <w:rPr>
          <w:i/>
          <w:sz w:val="20"/>
        </w:rPr>
        <w:t>Isaac Moore Sr. et al. v. H. Clay Evans et al.</w:t>
      </w:r>
      <w:r>
        <w:rPr>
          <w:sz w:val="20"/>
        </w:rPr>
        <w:t xml:space="preserve">, No. 15249, </w:t>
      </w:r>
      <w:hyperlink r:id="rId25">
        <w:r>
          <w:rPr>
            <w:color w:val="000000"/>
            <w:u w:val="single"/>
            <w:sz w:val="20"/>
          </w:rPr>
          <w:t>IMG_0561</w:t>
        </w:r>
      </w:hyperlink>
      <w:r>
        <w:rPr>
          <w:sz w:val="20"/>
        </w:rPr>
        <w:t xml:space="preserve">, </w:t>
      </w:r>
      <w:hyperlink r:id="rId27">
        <w:r>
          <w:rPr>
            <w:color w:val="000000"/>
            <w:u w:val="single"/>
            <w:sz w:val="20"/>
          </w:rPr>
          <w:t>IMG_0562</w:t>
        </w:r>
      </w:hyperlink>
      <w:r>
        <w:rPr>
          <w:sz w:val="20"/>
        </w:rPr>
        <w:t>. Complete photographs visually checked September 23, 2026. The signature resembles Bill Pue; the examination names Bill Pugh. “Last year” and “two or three years back” are interpreted relative to the January 1916 certification; no separately dated taking of these answers is established here. He supplies no named interment, exact burial dates, last-use date or total. The first page directs the reader to its back; the next photograph shows only the closing. No unphotographed content is supplied.</w:t>
      </w:r>
    </w:p>
    <w:p>
      <w:pPr>
        <w:spacing w:line="264" w:lineRule="auto" w:after="100"/>
        <w:ind w:left="360" w:hanging="360"/>
      </w:pPr>
      <w:r>
        <w:rPr>
          <w:sz w:val="20"/>
        </w:rPr>
        <w:t xml:space="preserve">20. </w:t>
      </w:r>
      <w:r>
        <w:rPr>
          <w:b/>
          <w:sz w:val="20"/>
        </w:rPr>
        <w:t>Documented sworn recollection:</w:t>
      </w:r>
      <w:r>
        <w:rPr>
          <w:sz w:val="20"/>
        </w:rPr>
        <w:t xml:space="preserve"> Scott Ebster, direct and cross-examination, lower handwritten p. 5 and following leaf, sworn and subscribed January 18, 1916, same court and case, </w:t>
      </w:r>
      <w:hyperlink r:id="rId20">
        <w:r>
          <w:rPr>
            <w:color w:val="000000"/>
            <w:u w:val="single"/>
            <w:sz w:val="20"/>
          </w:rPr>
          <w:t>IMG_0557</w:t>
        </w:r>
      </w:hyperlink>
      <w:r>
        <w:rPr>
          <w:sz w:val="20"/>
        </w:rPr>
        <w:t xml:space="preserve">, </w:t>
      </w:r>
      <w:hyperlink r:id="rId28">
        <w:r>
          <w:rPr>
            <w:color w:val="000000"/>
            <w:u w:val="single"/>
            <w:sz w:val="20"/>
          </w:rPr>
          <w:t>IMG_0558</w:t>
        </w:r>
      </w:hyperlink>
      <w:r>
        <w:rPr>
          <w:sz w:val="20"/>
        </w:rPr>
        <w:t>. Complete photographs visually checked September 23, 2026. An examiner's opening question proposes about fifteen years of residence, off and on, but no separate answer is visible; that duration is not adopted as an affirmed fact. Ebster recalls several burials and agrees with the descriptions of earlier unfenced woods and a later large field. No clearing date, enclosure date, grave count, named interment or measured cemetery boundary is established.</w:t>
      </w:r>
    </w:p>
    <w:p>
      <w:pPr>
        <w:spacing w:line="264" w:lineRule="auto" w:after="100"/>
        <w:ind w:left="360" w:hanging="360"/>
      </w:pPr>
      <w:r>
        <w:rPr>
          <w:sz w:val="20"/>
        </w:rPr>
        <w:t xml:space="preserve">21. </w:t>
      </w:r>
      <w:r>
        <w:rPr>
          <w:b/>
          <w:sz w:val="20"/>
        </w:rPr>
        <w:t>Documented contemporary publication; Reported funeral arrangements; Inferred geographic distinction:</w:t>
      </w:r>
      <w:r>
        <w:rPr>
          <w:sz w:val="20"/>
        </w:rPr>
        <w:t xml:space="preserve"> Unidentified writer under “Uncle Josh Talks,” </w:t>
      </w:r>
      <w:r>
        <w:rPr>
          <w:i/>
          <w:sz w:val="20"/>
        </w:rPr>
        <w:t>The Chattanooga Commercial</w:t>
      </w:r>
      <w:r>
        <w:rPr>
          <w:sz w:val="20"/>
        </w:rPr>
        <w:t xml:space="preserve">, Sunday, May 29, 1887, printed p. 8, columns 2–3; digitized under </w:t>
      </w:r>
      <w:r>
        <w:rPr>
          <w:i/>
          <w:sz w:val="20"/>
        </w:rPr>
        <w:t>Daily Commercial</w:t>
      </w:r>
      <w:r>
        <w:rPr>
          <w:sz w:val="20"/>
        </w:rPr>
        <w:t xml:space="preserve">, publication ID74159525. </w:t>
      </w:r>
      <w:hyperlink r:id="rId29">
        <w:r>
          <w:rPr>
            <w:color w:val="000000"/>
            <w:u w:val="single"/>
            <w:sz w:val="20"/>
          </w:rPr>
          <w:t>Original newspaper</w:t>
        </w:r>
      </w:hyperlink>
      <w:r>
        <w:rPr>
          <w:sz w:val="20"/>
        </w:rPr>
        <w:t>. Masthead, heading and complete relevant passage visually checked September 22, 2026. The writer describes a body expected down the incline and onward by hearse to an unnamed colored cemetery. No identity, Clift location, exact destination or completed burial is established. “Previous Sabbath” is the column's relative date; no precise funeral date is supplied in the narrative.</w:t>
      </w:r>
    </w:p>
    <w:p>
      <w:pPr>
        <w:spacing w:line="264" w:lineRule="auto" w:after="100"/>
        <w:ind w:left="360" w:hanging="360"/>
      </w:pPr>
      <w:r>
        <w:rPr>
          <w:sz w:val="20"/>
        </w:rPr>
        <w:t xml:space="preserve">22. </w:t>
      </w:r>
      <w:r>
        <w:rPr>
          <w:b/>
          <w:sz w:val="20"/>
        </w:rPr>
        <w:t>Documented affidavit containing historical recollections:</w:t>
      </w:r>
      <w:r>
        <w:rPr>
          <w:sz w:val="20"/>
        </w:rPr>
        <w:t xml:space="preserve"> Mrs. W. J. Drinnon, July 27, 1915, same case, </w:t>
      </w:r>
      <w:hyperlink r:id="rId30">
        <w:r>
          <w:rPr>
            <w:color w:val="000000"/>
            <w:u w:val="single"/>
            <w:sz w:val="20"/>
          </w:rPr>
          <w:t>image 0613</w:t>
        </w:r>
      </w:hyperlink>
      <w:r>
        <w:rPr>
          <w:sz w:val="20"/>
        </w:rPr>
        <w:t>. Approximate elapsed years are her recollection, not independently established dates.</w:t>
      </w:r>
    </w:p>
    <w:p>
      <w:pPr>
        <w:spacing w:line="264" w:lineRule="auto" w:after="100"/>
        <w:ind w:left="360" w:hanging="360"/>
      </w:pPr>
      <w:r>
        <w:rPr>
          <w:sz w:val="20"/>
        </w:rPr>
        <w:t xml:space="preserve">23. </w:t>
      </w:r>
      <w:r>
        <w:rPr>
          <w:b/>
          <w:sz w:val="20"/>
        </w:rPr>
        <w:t>Documented affidavit containing historical recollection:</w:t>
      </w:r>
      <w:r>
        <w:rPr>
          <w:sz w:val="20"/>
        </w:rPr>
        <w:t xml:space="preserve"> G. W. Drinnon, July 27, 1915, No. 15249, </w:t>
      </w:r>
      <w:hyperlink r:id="rId31">
        <w:r>
          <w:rPr>
            <w:color w:val="000000"/>
            <w:u w:val="single"/>
            <w:sz w:val="20"/>
          </w:rPr>
          <w:t>IMG_0614</w:t>
        </w:r>
      </w:hyperlink>
      <w:r>
        <w:rPr>
          <w:sz w:val="20"/>
        </w:rPr>
        <w:t>. Original image checked September 22, 2026. He dates his birth March 12, 1871; his recollection does not supply a cemetery founding date or surveyed footprints.</w:t>
      </w:r>
    </w:p>
    <w:p>
      <w:pPr>
        <w:spacing w:line="264" w:lineRule="auto" w:after="100"/>
        <w:ind w:left="360" w:hanging="360"/>
      </w:pPr>
      <w:r>
        <w:rPr>
          <w:sz w:val="20"/>
        </w:rPr>
        <w:t xml:space="preserve">24. </w:t>
      </w:r>
      <w:r>
        <w:rPr>
          <w:b/>
          <w:sz w:val="20"/>
        </w:rPr>
        <w:t>Documented affidavit containing historical recollection:</w:t>
      </w:r>
      <w:r>
        <w:rPr>
          <w:sz w:val="20"/>
        </w:rPr>
        <w:t xml:space="preserve"> A. A. Nefe, July 27, 1915, Hamilton County Chancery No. 15249, </w:t>
      </w:r>
      <w:hyperlink r:id="rId32">
        <w:r>
          <w:rPr>
            <w:color w:val="000000"/>
            <w:u w:val="single"/>
            <w:sz w:val="20"/>
          </w:rPr>
          <w:t>IMG_0612</w:t>
        </w:r>
      </w:hyperlink>
      <w:r>
        <w:rPr>
          <w:sz w:val="20"/>
        </w:rPr>
        <w:t>. Original local photograph visually checked September 22, 2026. “Contiguous” and the Boulevard's later separation are Nefe's account; they do not establish measured boundaries or a date for the road's construction.</w:t>
      </w:r>
    </w:p>
    <w:p>
      <w:pPr>
        <w:spacing w:line="264" w:lineRule="auto" w:after="100"/>
        <w:ind w:left="360" w:hanging="360"/>
      </w:pPr>
      <w:r>
        <w:rPr>
          <w:sz w:val="20"/>
        </w:rPr>
        <w:t xml:space="preserve">25. </w:t>
      </w:r>
      <w:r>
        <w:rPr>
          <w:b/>
          <w:sz w:val="20"/>
        </w:rPr>
        <w:t>Documented sworn recollection; Inferred comparison with the later inscription survey:</w:t>
      </w:r>
      <w:r>
        <w:rPr>
          <w:sz w:val="20"/>
        </w:rPr>
        <w:t xml:space="preserve"> A. A. Nefe, deposition, </w:t>
      </w:r>
      <w:r>
        <w:rPr>
          <w:b/>
          <w:sz w:val="20"/>
        </w:rPr>
        <w:t>November 30, 1915</w:t>
      </w:r>
      <w:r>
        <w:rPr>
          <w:sz w:val="20"/>
        </w:rPr>
        <w:t xml:space="preserve">, Hamilton County Chancery No. 15249, handwritten pp. 1–2, </w:t>
      </w:r>
      <w:hyperlink r:id="rId33">
        <w:r>
          <w:rPr>
            <w:color w:val="000000"/>
            <w:u w:val="single"/>
            <w:sz w:val="20"/>
          </w:rPr>
          <w:t>IMG_0601</w:t>
        </w:r>
      </w:hyperlink>
      <w:r>
        <w:rPr>
          <w:sz w:val="20"/>
        </w:rPr>
        <w:t xml:space="preserve">, </w:t>
      </w:r>
      <w:hyperlink r:id="rId34">
        <w:r>
          <w:rPr>
            <w:color w:val="000000"/>
            <w:u w:val="single"/>
            <w:sz w:val="20"/>
          </w:rPr>
          <w:t>IMG_0602</w:t>
        </w:r>
      </w:hyperlink>
      <w:r>
        <w:rPr>
          <w:sz w:val="20"/>
        </w:rPr>
        <w:t>. Both complete text pages visually checked September 22, 2026. The header gives the Clerk and Master's office and 9 a.m.; the deposition allows later cross-examination by agreement, which is not included in these two pages. Spring 1891 dates use Nefe recalled on arrival, not the cemetery's founding. He reports stone and wooden markers, numerous burials, uncertainty about consent, and no known objection. No named interment, marker count, physician-patient relationship or precise modern boundary follows.</w:t>
      </w:r>
    </w:p>
    <w:p>
      <w:pPr>
        <w:spacing w:line="264" w:lineRule="auto" w:after="100"/>
        <w:ind w:left="360" w:hanging="360"/>
      </w:pPr>
      <w:r>
        <w:rPr>
          <w:sz w:val="20"/>
        </w:rPr>
        <w:t xml:space="preserve">26. </w:t>
      </w:r>
      <w:r>
        <w:rPr>
          <w:b/>
          <w:sz w:val="20"/>
        </w:rPr>
        <w:t>Documented directory entries; Inferred identity comparisons:</w:t>
      </w:r>
      <w:r>
        <w:rPr>
          <w:sz w:val="20"/>
        </w:rPr>
        <w:t xml:space="preserve"> G. M. Connelly, publisher, </w:t>
      </w:r>
      <w:r>
        <w:rPr>
          <w:i/>
          <w:sz w:val="20"/>
        </w:rPr>
        <w:t>City Directory of Chattanooga and Suburbs</w:t>
      </w:r>
      <w:r>
        <w:rPr>
          <w:sz w:val="20"/>
        </w:rPr>
        <w:t xml:space="preserve">, vol. 28 (1908), preface dated January 1908, p. 3; abbreviation key, printed p. 63; Lookout Mountain section, pp. 986–988. Harvard University original, HathiTrust hvd.hn4hhd, </w:t>
      </w:r>
      <w:hyperlink r:id="rId35">
        <w:r>
          <w:rPr>
            <w:color w:val="000000"/>
            <w:u w:val="single"/>
            <w:sz w:val="20"/>
          </w:rPr>
          <w:t>catalog 102728323</w:t>
        </w:r>
      </w:hyperlink>
      <w:r>
        <w:rPr>
          <w:sz w:val="20"/>
        </w:rPr>
        <w:t xml:space="preserve">; </w:t>
      </w:r>
      <w:hyperlink r:id="rId36">
        <w:r>
          <w:rPr>
            <w:color w:val="000000"/>
            <w:u w:val="single"/>
            <w:sz w:val="20"/>
          </w:rPr>
          <w:t>preface, scan 7</w:t>
        </w:r>
      </w:hyperlink>
      <w:r>
        <w:rPr>
          <w:sz w:val="20"/>
        </w:rPr>
        <w:t xml:space="preserve">; </w:t>
      </w:r>
      <w:hyperlink r:id="rId37">
        <w:r>
          <w:rPr>
            <w:color w:val="000000"/>
            <w:u w:val="single"/>
            <w:sz w:val="20"/>
          </w:rPr>
          <w:t>key, scan 65</w:t>
        </w:r>
      </w:hyperlink>
      <w:r>
        <w:rPr>
          <w:sz w:val="20"/>
        </w:rPr>
        <w:t xml:space="preserve">; </w:t>
      </w:r>
      <w:hyperlink r:id="rId38">
        <w:r>
          <w:rPr>
            <w:color w:val="000000"/>
            <w:u w:val="single"/>
            <w:sz w:val="20"/>
          </w:rPr>
          <w:t>residents, p. 987 / scan 1059</w:t>
        </w:r>
      </w:hyperlink>
      <w:r>
        <w:rPr>
          <w:sz w:val="20"/>
        </w:rPr>
        <w:t>. Original images visually checked September 22, 2026. The reader mislabels printed p. 63 as p. 62; cite the printed number. The directory's Ike Moore is not established as Isaac Moore Sr. or Jr.; Moore Sr.'s four-year statement was rechecked in original IMG_0554, question 9. None of these residence entries establishes an interment or a precise residence parcel.</w:t>
      </w:r>
    </w:p>
    <w:p>
      <w:pPr>
        <w:spacing w:line="264" w:lineRule="auto" w:after="100"/>
        <w:ind w:left="360" w:hanging="360"/>
      </w:pPr>
      <w:r>
        <w:rPr>
          <w:sz w:val="20"/>
        </w:rPr>
        <w:t xml:space="preserve">27. </w:t>
      </w:r>
      <w:r>
        <w:rPr>
          <w:b/>
          <w:sz w:val="20"/>
        </w:rPr>
        <w:t>Documented affidavit:</w:t>
      </w:r>
      <w:r>
        <w:rPr>
          <w:sz w:val="20"/>
        </w:rPr>
        <w:t xml:space="preserve"> J. G. Burton, July 24, 1915, same case, </w:t>
      </w:r>
      <w:hyperlink r:id="rId39">
        <w:r>
          <w:rPr>
            <w:color w:val="000000"/>
            <w:u w:val="single"/>
            <w:sz w:val="20"/>
          </w:rPr>
          <w:t>image 0611</w:t>
        </w:r>
      </w:hyperlink>
      <w:r>
        <w:rPr>
          <w:sz w:val="20"/>
        </w:rPr>
        <w:t>.</w:t>
      </w:r>
    </w:p>
    <w:p>
      <w:pPr>
        <w:spacing w:line="264" w:lineRule="auto" w:after="100"/>
        <w:ind w:left="360" w:hanging="360"/>
      </w:pPr>
      <w:r>
        <w:rPr>
          <w:sz w:val="20"/>
        </w:rPr>
        <w:t xml:space="preserve">28. </w:t>
      </w:r>
      <w:r>
        <w:rPr>
          <w:b/>
          <w:sz w:val="20"/>
        </w:rPr>
        <w:t>Reported history / documented contemporary publication:</w:t>
      </w:r>
      <w:r>
        <w:rPr>
          <w:sz w:val="20"/>
        </w:rPr>
        <w:t xml:space="preserve"> “Confederate Survivor of Chickamauga,” “Neglected Graves,” </w:t>
      </w:r>
      <w:r>
        <w:rPr>
          <w:i/>
          <w:sz w:val="20"/>
        </w:rPr>
        <w:t>Virginia Medical Monthly</w:t>
      </w:r>
      <w:r>
        <w:rPr>
          <w:sz w:val="20"/>
        </w:rPr>
        <w:t xml:space="preserve"> XVII, no. 5, August 1890, pp. 366–367; letter dated July 6, 1890. </w:t>
      </w:r>
      <w:hyperlink r:id="rId40">
        <w:r>
          <w:rPr>
            <w:color w:val="000000"/>
            <w:u w:val="single"/>
            <w:sz w:val="20"/>
          </w:rPr>
          <w:t>Original volume</w:t>
        </w:r>
      </w:hyperlink>
      <w:r>
        <w:rPr>
          <w:sz w:val="20"/>
        </w:rPr>
        <w:t xml:space="preserve">. J. W. Fergusson &amp; Son were printers of the bound volume, not the established author. Same-person Burton connection is </w:t>
      </w:r>
      <w:r>
        <w:rPr>
          <w:b/>
          <w:sz w:val="20"/>
        </w:rPr>
        <w:t>Inferred</w:t>
      </w:r>
      <w:r>
        <w:rPr>
          <w:sz w:val="20"/>
        </w:rPr>
        <w:t>; exact geographic relationship of burial grounds is unresolved.</w:t>
      </w:r>
    </w:p>
    <w:p>
      <w:pPr>
        <w:spacing w:line="264" w:lineRule="auto" w:after="100"/>
        <w:ind w:left="360" w:hanging="360"/>
      </w:pPr>
      <w:r>
        <w:rPr>
          <w:sz w:val="20"/>
        </w:rPr>
        <w:t xml:space="preserve">29. </w:t>
      </w:r>
      <w:r>
        <w:rPr>
          <w:b/>
          <w:sz w:val="20"/>
        </w:rPr>
        <w:t>Documented contemporary publication; Reported plans; Inferred personal connections:</w:t>
      </w:r>
      <w:r>
        <w:rPr>
          <w:sz w:val="20"/>
        </w:rPr>
        <w:t xml:space="preserve"> Unnamed correspondent, “Lookout Mountain Notes,” </w:t>
      </w:r>
      <w:r>
        <w:rPr>
          <w:i/>
          <w:sz w:val="20"/>
        </w:rPr>
        <w:t>Chattanooga Evening News</w:t>
      </w:r>
      <w:r>
        <w:rPr>
          <w:sz w:val="20"/>
        </w:rPr>
        <w:t xml:space="preserve">, March 5, 1891, printed p. 5, publication ID74161720. </w:t>
      </w:r>
      <w:hyperlink r:id="rId41">
        <w:r>
          <w:rPr>
            <w:color w:val="000000"/>
            <w:u w:val="single"/>
            <w:sz w:val="20"/>
          </w:rPr>
          <w:t>Original newspaper</w:t>
        </w:r>
      </w:hyperlink>
      <w:r>
        <w:rPr>
          <w:sz w:val="20"/>
        </w:rPr>
        <w:t>. Complete column and dated masthead visually checked. The image reads Albert Dickey Foy, Mr. Burton and Ross Avenue station. The chapel fund is not proved identical to the 1890 grave-improvement fund; no completed building, fence, Salem identity or equivalence of Ross Avenue and Clift stations is established.</w:t>
      </w:r>
    </w:p>
    <w:p>
      <w:pPr>
        <w:spacing w:line="264" w:lineRule="auto" w:after="100"/>
        <w:ind w:left="360" w:hanging="360"/>
      </w:pPr>
      <w:r>
        <w:rPr>
          <w:sz w:val="20"/>
        </w:rPr>
        <w:t xml:space="preserve">30. </w:t>
      </w:r>
      <w:r>
        <w:rPr>
          <w:b/>
          <w:sz w:val="20"/>
        </w:rPr>
        <w:t>Documented map depiction; Inferred connection with the newspaper's station:</w:t>
      </w:r>
      <w:r>
        <w:rPr>
          <w:sz w:val="20"/>
        </w:rPr>
        <w:t xml:space="preserve"> G. M. Hopkins &amp; Co., </w:t>
      </w:r>
      <w:r>
        <w:rPr>
          <w:i/>
          <w:sz w:val="20"/>
        </w:rPr>
        <w:t>1889 Map Plat-book</w:t>
      </w:r>
      <w:r>
        <w:rPr>
          <w:sz w:val="20"/>
        </w:rPr>
        <w:t xml:space="preserve">, plate 11, digitized by Sam Hall, ChattanoogaHistory.com, from the Picnooga / Chattanooga Historical Association copy donated by Mitch Kinder. </w:t>
      </w:r>
      <w:hyperlink r:id="rId42">
        <w:r>
          <w:rPr>
            <w:color w:val="000000"/>
            <w:u w:val="single"/>
            <w:sz w:val="20"/>
          </w:rPr>
          <w:t>Atlas viewer</w:t>
        </w:r>
      </w:hyperlink>
      <w:r>
        <w:rPr>
          <w:sz w:val="20"/>
        </w:rPr>
        <w:t>. Complete overview and enlarged Ross Avenue depot area visually checked September 22, 2026. Original tiles preserved locally. The map labels a depot at Ross Avenue but does not name Burton's store, locate the proposed chapel or establish a cemetery boundary. This published atlas plate is not a recorded GI or plat-book number.</w:t>
      </w:r>
    </w:p>
    <w:p>
      <w:pPr>
        <w:spacing w:line="264" w:lineRule="auto" w:after="100"/>
        <w:ind w:left="360" w:hanging="360"/>
      </w:pPr>
      <w:r>
        <w:rPr>
          <w:sz w:val="20"/>
        </w:rPr>
        <w:t xml:space="preserve">31. </w:t>
      </w:r>
      <w:r>
        <w:rPr>
          <w:b/>
          <w:sz w:val="20"/>
        </w:rPr>
        <w:t>Reported history in a contemporary publication:</w:t>
      </w:r>
      <w:r>
        <w:rPr>
          <w:sz w:val="20"/>
        </w:rPr>
        <w:t xml:space="preserve"> "Confederate Survivor of Chickamauga," "Neglected Graves," </w:t>
      </w:r>
      <w:r>
        <w:rPr>
          <w:i/>
          <w:sz w:val="20"/>
        </w:rPr>
        <w:t>Virginia Medical Monthly</w:t>
      </w:r>
      <w:r>
        <w:rPr>
          <w:sz w:val="20"/>
        </w:rPr>
        <w:t xml:space="preserve"> 17, no. 5 (August 1890): 366–367, letter dated July 6, 1890. </w:t>
      </w:r>
      <w:hyperlink r:id="rId43">
        <w:r>
          <w:rPr>
            <w:color w:val="000000"/>
            <w:u w:val="single"/>
            <w:sz w:val="20"/>
          </w:rPr>
          <w:t>Original journal</w:t>
        </w:r>
      </w:hyperlink>
      <w:r>
        <w:rPr>
          <w:sz w:val="20"/>
        </w:rPr>
        <w:t>. Original pages visually checked. Neither the transfer date nor individual identities appear in the account.</w:t>
      </w:r>
    </w:p>
    <w:p>
      <w:pPr>
        <w:spacing w:line="264" w:lineRule="auto" w:after="100"/>
        <w:ind w:left="360" w:hanging="360"/>
      </w:pPr>
      <w:r>
        <w:rPr>
          <w:sz w:val="20"/>
        </w:rPr>
        <w:t xml:space="preserve">32. </w:t>
      </w:r>
      <w:r>
        <w:rPr>
          <w:b/>
          <w:sz w:val="20"/>
        </w:rPr>
        <w:t>Documented contemporary description; Inferred destination:</w:t>
      </w:r>
      <w:r>
        <w:rPr>
          <w:sz w:val="20"/>
        </w:rPr>
        <w:t xml:space="preserve"> Chattanooga Chamber of Commerce, </w:t>
      </w:r>
      <w:r>
        <w:rPr>
          <w:i/>
          <w:sz w:val="20"/>
        </w:rPr>
        <w:t>Report of the Chamber of Commerce, Chattanooga, Tennessee, 1889</w:t>
      </w:r>
      <w:r>
        <w:rPr>
          <w:sz w:val="20"/>
        </w:rPr>
        <w:t xml:space="preserve"> (Chattanooga: Reynolds &amp; Hickman, 1890), p. 80. </w:t>
      </w:r>
      <w:hyperlink r:id="rId44">
        <w:r>
          <w:rPr>
            <w:color w:val="000000"/>
            <w:u w:val="single"/>
            <w:sz w:val="20"/>
          </w:rPr>
          <w:t>Original scan</w:t>
        </w:r>
      </w:hyperlink>
      <w:r>
        <w:rPr>
          <w:sz w:val="20"/>
        </w:rPr>
        <w:t>. Title page and printed p. 80 visually checked. The report supplies institutional and geographic context, not a Clift Station reinterment entry. Its estimate of approximately 2,500 bodies is not a count of railway or Clift Station remains.</w:t>
      </w:r>
    </w:p>
    <w:p>
      <w:pPr>
        <w:spacing w:line="264" w:lineRule="auto" w:after="100"/>
        <w:ind w:left="360" w:hanging="360"/>
      </w:pPr>
      <w:r>
        <w:rPr>
          <w:sz w:val="20"/>
        </w:rPr>
        <w:t xml:space="preserve">33. </w:t>
      </w:r>
      <w:r>
        <w:rPr>
          <w:b/>
          <w:sz w:val="20"/>
        </w:rPr>
        <w:t>Documented signed appeal; Reported past work and future plans:</w:t>
      </w:r>
      <w:r>
        <w:rPr>
          <w:sz w:val="20"/>
        </w:rPr>
        <w:t xml:space="preserve"> J. F. Shipp, L. T. Dickinson and Nannie H. Dickinson, letter published under “An Appeal for Aid,” </w:t>
      </w:r>
      <w:r>
        <w:rPr>
          <w:i/>
          <w:sz w:val="20"/>
        </w:rPr>
        <w:t>The Chattanooga Daily News</w:t>
      </w:r>
      <w:r>
        <w:rPr>
          <w:sz w:val="20"/>
        </w:rPr>
        <w:t xml:space="preserve">, July 2, 1895, printed p. 3, publication ID74165533. </w:t>
      </w:r>
      <w:hyperlink r:id="rId45">
        <w:r>
          <w:rPr>
            <w:color w:val="000000"/>
            <w:u w:val="single"/>
            <w:sz w:val="20"/>
          </w:rPr>
          <w:t>Original newspaper</w:t>
        </w:r>
      </w:hyperlink>
      <w:r>
        <w:rPr>
          <w:sz w:val="20"/>
        </w:rPr>
        <w:t>. Complete article and masthead visually checked. The eleven states are the letter's description of a planned memorial, not eleven completed tablets or eleven independently verified burial groups. This article gives no street address or Clift Station identification.</w:t>
      </w:r>
    </w:p>
    <w:p>
      <w:pPr>
        <w:spacing w:line="264" w:lineRule="auto" w:after="100"/>
        <w:ind w:left="360" w:hanging="360"/>
      </w:pPr>
      <w:r>
        <w:rPr>
          <w:sz w:val="20"/>
        </w:rPr>
        <w:t xml:space="preserve">34. </w:t>
      </w:r>
      <w:r>
        <w:rPr>
          <w:b/>
          <w:sz w:val="20"/>
        </w:rPr>
        <w:t>Documented contemporary publication; Reported improvements and intended accounting:</w:t>
      </w:r>
      <w:r>
        <w:rPr>
          <w:sz w:val="20"/>
        </w:rPr>
        <w:t xml:space="preserve"> Unnamed reporter, “Confederate Cemetery,” </w:t>
      </w:r>
      <w:r>
        <w:rPr>
          <w:i/>
          <w:sz w:val="20"/>
        </w:rPr>
        <w:t>The Chattanooga Daily News</w:t>
      </w:r>
      <w:r>
        <w:rPr>
          <w:sz w:val="20"/>
        </w:rPr>
        <w:t xml:space="preserve">, November 7, 1895, printed p. 8, publication ID74166486. </w:t>
      </w:r>
      <w:hyperlink r:id="rId46">
        <w:r>
          <w:rPr>
            <w:color w:val="000000"/>
            <w:u w:val="single"/>
            <w:sz w:val="20"/>
          </w:rPr>
          <w:t>Original newspaper</w:t>
        </w:r>
      </w:hyperlink>
      <w:r>
        <w:rPr>
          <w:sz w:val="20"/>
        </w:rPr>
        <w:t>. Complete article and masthead visually checked. The proposed December report has not been recovered, and neither cemetery fence completion nor a Clift Station transfer is established.</w:t>
      </w:r>
    </w:p>
    <w:p>
      <w:pPr>
        <w:spacing w:line="264" w:lineRule="auto" w:after="100"/>
        <w:ind w:left="360" w:hanging="360"/>
      </w:pPr>
      <w:r>
        <w:rPr>
          <w:sz w:val="20"/>
        </w:rPr>
        <w:t xml:space="preserve">35. </w:t>
      </w:r>
      <w:r>
        <w:rPr>
          <w:b/>
          <w:sz w:val="20"/>
        </w:rPr>
        <w:t>Documented publication and photographs; Reported events and inscription:</w:t>
      </w:r>
      <w:r>
        <w:rPr>
          <w:sz w:val="20"/>
        </w:rPr>
        <w:t xml:space="preserve"> "Confederate Cemetery at Chattanooga," unsigned, </w:t>
      </w:r>
      <w:r>
        <w:rPr>
          <w:i/>
          <w:sz w:val="20"/>
        </w:rPr>
        <w:t>Confederate Veteran</w:t>
      </w:r>
      <w:r>
        <w:rPr>
          <w:sz w:val="20"/>
        </w:rPr>
        <w:t xml:space="preserve"> 22, no. 2 (February 1914): 61. </w:t>
      </w:r>
      <w:hyperlink r:id="rId47">
        <w:r>
          <w:rPr>
            <w:color w:val="000000"/>
            <w:u w:val="single"/>
            <w:sz w:val="20"/>
          </w:rPr>
          <w:t>Original volume</w:t>
        </w:r>
      </w:hyperlink>
      <w:r>
        <w:rPr>
          <w:sz w:val="20"/>
        </w:rPr>
        <w:t>. Printed p. 61 and February issue heading visually checked against the scan. May 1913 is inferred from "Last May" in this February 1914 article. The reported roster, individual reinterment records and original inscription have not been independently inspected. The article gives no Clift Station connection.</w:t>
      </w:r>
    </w:p>
    <w:p>
      <w:pPr>
        <w:spacing w:line="264" w:lineRule="auto" w:after="100"/>
        <w:ind w:left="360" w:hanging="360"/>
      </w:pPr>
      <w:r>
        <w:rPr>
          <w:sz w:val="20"/>
        </w:rPr>
        <w:t xml:space="preserve">36. </w:t>
      </w:r>
      <w:r>
        <w:rPr>
          <w:b/>
          <w:sz w:val="20"/>
        </w:rPr>
        <w:t>Documented instrument and drawing:</w:t>
      </w:r>
      <w:r>
        <w:rPr>
          <w:sz w:val="20"/>
        </w:rPr>
        <w:t xml:space="preserve"> Hamilton County Register of Deeds, Anderson and Louisa Bryant to Chattanooga and Lookout Mountain Railway Company, executed August 13, 1888, filed August 14, 1888, </w:t>
      </w:r>
      <w:r>
        <w:rPr>
          <w:b/>
          <w:sz w:val="20"/>
        </w:rPr>
        <w:t>GI 65–306/307 (M3)</w:t>
      </w:r>
      <w:r>
        <w:rPr>
          <w:sz w:val="20"/>
        </w:rPr>
        <w:t>. Consideration $250; Holman Spring; 605-foot centerline on a four-degree curve; 50-foot strip. The recorded acknowledgment identifies Louisa as Anderson's wife.</w:t>
      </w:r>
    </w:p>
    <w:p>
      <w:pPr>
        <w:spacing w:line="264" w:lineRule="auto" w:after="100"/>
        <w:ind w:left="360" w:hanging="360"/>
      </w:pPr>
      <w:r>
        <w:rPr>
          <w:sz w:val="20"/>
        </w:rPr>
        <w:t xml:space="preserve">37. </w:t>
      </w:r>
      <w:r>
        <w:rPr>
          <w:b/>
          <w:sz w:val="20"/>
        </w:rPr>
        <w:t>Documented instrument; Reported earlier title recital:</w:t>
      </w:r>
      <w:r>
        <w:rPr>
          <w:sz w:val="20"/>
        </w:rPr>
        <w:t xml:space="preserve"> same office, Sally Morbitt/Morbett to Anderson Bryant, August 19, 1878, </w:t>
      </w:r>
      <w:r>
        <w:rPr>
          <w:b/>
          <w:sz w:val="20"/>
        </w:rPr>
        <w:t>GI 32–279/280 (F2)</w:t>
      </w:r>
      <w:r>
        <w:rPr>
          <w:sz w:val="20"/>
        </w:rPr>
        <w:t>. Consideration $150; Holman Spring reading rechecked September 22. The September 28, 1859 Rogers conveyance is recited, not independently inspected. Surname variants retained; not silently standardized to Mabbit.</w:t>
      </w:r>
    </w:p>
    <w:p>
      <w:pPr>
        <w:spacing w:line="264" w:lineRule="auto" w:after="100"/>
        <w:ind w:left="360" w:hanging="360"/>
      </w:pPr>
      <w:r>
        <w:rPr>
          <w:sz w:val="20"/>
        </w:rPr>
        <w:t xml:space="preserve">38. </w:t>
      </w:r>
      <w:r>
        <w:rPr>
          <w:b/>
          <w:sz w:val="20"/>
        </w:rPr>
        <w:t>Documented recorded decree; Inferred tract comparison:</w:t>
      </w:r>
      <w:r>
        <w:rPr>
          <w:sz w:val="20"/>
        </w:rPr>
        <w:t xml:space="preserve"> Tennessee Supreme Court, </w:t>
      </w:r>
      <w:r>
        <w:rPr>
          <w:i/>
          <w:sz w:val="20"/>
        </w:rPr>
        <w:t>J. W. James, administrator, et al. v. Alexander Hunt</w:t>
      </w:r>
      <w:r>
        <w:rPr>
          <w:sz w:val="20"/>
        </w:rPr>
        <w:t xml:space="preserve">, decree heading October 6, 1884, certified payment February 2, 1885, recorded October 27, 1886 in </w:t>
      </w:r>
      <w:r>
        <w:rPr>
          <w:b/>
          <w:sz w:val="20"/>
        </w:rPr>
        <w:t>GI 49–577/578 (W2)</w:t>
      </w:r>
      <w:r>
        <w:rPr>
          <w:sz w:val="20"/>
        </w:rPr>
        <w:t>. The decree does not identify its Bryant/Mabbit lot as the cemetery or give Bryant's first name. Full file and separate map remain unread.</w:t>
      </w:r>
    </w:p>
    <w:p>
      <w:pPr>
        <w:spacing w:line="264" w:lineRule="auto" w:after="100"/>
        <w:ind w:left="360" w:hanging="360"/>
      </w:pPr>
      <w:r>
        <w:rPr>
          <w:sz w:val="20"/>
        </w:rPr>
        <w:t xml:space="preserve">39. </w:t>
      </w:r>
      <w:r>
        <w:rPr>
          <w:b/>
          <w:sz w:val="20"/>
        </w:rPr>
        <w:t>Reported contemporary account:</w:t>
      </w:r>
      <w:r>
        <w:rPr>
          <w:sz w:val="20"/>
        </w:rPr>
        <w:t xml:space="preserve"> “Confederate Survivor of Chickamauga,” “Neglected Graves,” </w:t>
      </w:r>
      <w:r>
        <w:rPr>
          <w:i/>
          <w:sz w:val="20"/>
        </w:rPr>
        <w:t>Virginia Medical Monthly</w:t>
      </w:r>
      <w:r>
        <w:rPr>
          <w:sz w:val="20"/>
        </w:rPr>
        <w:t xml:space="preserve"> 17, no. 5 (August 1890), pp. 366–367; letter July 6, 1890. </w:t>
      </w:r>
      <w:hyperlink r:id="rId43">
        <w:r>
          <w:rPr>
            <w:color w:val="000000"/>
            <w:u w:val="single"/>
            <w:sz w:val="20"/>
          </w:rPr>
          <w:t>Original publication</w:t>
        </w:r>
      </w:hyperlink>
      <w:r>
        <w:rPr>
          <w:sz w:val="20"/>
        </w:rPr>
        <w:t>. No identity of the railway-deed strip and the reported grave-disturbance footprint is established.</w:t>
      </w:r>
    </w:p>
    <w:p>
      <w:pPr>
        <w:spacing w:line="264" w:lineRule="auto" w:after="100"/>
        <w:ind w:left="360" w:hanging="360"/>
      </w:pPr>
      <w:r>
        <w:rPr>
          <w:sz w:val="20"/>
        </w:rPr>
        <w:t xml:space="preserve">40. </w:t>
      </w:r>
      <w:r>
        <w:rPr>
          <w:b/>
          <w:sz w:val="20"/>
        </w:rPr>
        <w:t>Documented instrument; Inferred geographic comparison:</w:t>
      </w:r>
      <w:r>
        <w:rPr>
          <w:sz w:val="20"/>
        </w:rPr>
        <w:t xml:space="preserve"> Hamilton County Register of Deeds, Alexander Hunt to Anderson Bryant, November 15, 1888, recorded August 12, 1901, </w:t>
      </w:r>
      <w:r>
        <w:rPr>
          <w:b/>
          <w:sz w:val="20"/>
        </w:rPr>
        <w:t>GI 160–127/128 (D7)</w:t>
      </w:r>
      <w:r>
        <w:rPr>
          <w:sz w:val="20"/>
        </w:rPr>
        <w:t>. Repeated spring name supports comparison; it does not settle the full tract relationship, differing railway offsets or modern cemetery limits.</w:t>
      </w:r>
    </w:p>
    <w:p>
      <w:pPr>
        <w:spacing w:line="264" w:lineRule="auto" w:after="100"/>
        <w:ind w:left="360" w:hanging="360"/>
      </w:pPr>
      <w:r>
        <w:rPr>
          <w:sz w:val="20"/>
        </w:rPr>
        <w:t xml:space="preserve">41. </w:t>
      </w:r>
      <w:r>
        <w:rPr>
          <w:b/>
          <w:sz w:val="20"/>
        </w:rPr>
        <w:t>Documented instrument:</w:t>
      </w:r>
      <w:r>
        <w:rPr>
          <w:sz w:val="20"/>
        </w:rPr>
        <w:t xml:space="preserve"> Hamilton County Register of Deeds, Alexander Hunt to Anderson Bryant, executed November 15, 1888, acknowledged November 20, 1888, recorded August 12, 1901, </w:t>
      </w:r>
      <w:r>
        <w:rPr>
          <w:b/>
          <w:sz w:val="20"/>
        </w:rPr>
        <w:t>GI 160–127/128 (D7)</w:t>
      </w:r>
      <w:r>
        <w:rPr>
          <w:sz w:val="20"/>
        </w:rPr>
        <w:t>. The reference to McCamy heirs is Hunt's recital, not an independently inspected earlier deed. The September 22 image check also reads Holman in GI 32–279 and GI 65–306; the common name does not settle full tract identity. There are unmeasured/meandering calls.</w:t>
      </w:r>
    </w:p>
    <w:p>
      <w:pPr>
        <w:spacing w:line="264" w:lineRule="auto" w:after="100"/>
        <w:ind w:left="360" w:hanging="360"/>
      </w:pPr>
      <w:r>
        <w:rPr>
          <w:sz w:val="20"/>
        </w:rPr>
        <w:t xml:space="preserve">42. </w:t>
      </w:r>
      <w:r>
        <w:rPr>
          <w:b/>
          <w:sz w:val="20"/>
        </w:rPr>
        <w:t>Documented instrument; Inferred boundary correspondence:</w:t>
      </w:r>
      <w:r>
        <w:rPr>
          <w:sz w:val="20"/>
        </w:rPr>
        <w:t xml:space="preserve"> same office, Anderson and Carrie Bryant to D. T. Clippinger, October 3, 1911, filed October 4, </w:t>
      </w:r>
      <w:r>
        <w:rPr>
          <w:b/>
          <w:sz w:val="20"/>
        </w:rPr>
        <w:t>GI 262–26/27</w:t>
      </w:r>
      <w:r>
        <w:rPr>
          <w:sz w:val="20"/>
        </w:rPr>
        <w:t>. A common boundary segment is a research inference, not an explicit title link.</w:t>
      </w:r>
    </w:p>
    <w:p>
      <w:pPr>
        <w:spacing w:line="264" w:lineRule="auto" w:after="100"/>
        <w:ind w:left="360" w:hanging="360"/>
      </w:pPr>
      <w:r>
        <w:rPr>
          <w:sz w:val="20"/>
        </w:rPr>
        <w:t xml:space="preserve">43. </w:t>
      </w:r>
      <w:r>
        <w:rPr>
          <w:b/>
          <w:sz w:val="20"/>
        </w:rPr>
        <w:t>Documented instrument:</w:t>
      </w:r>
      <w:r>
        <w:rPr>
          <w:sz w:val="20"/>
        </w:rPr>
        <w:t xml:space="preserve"> same office, Anderson and Louisa Bryant to Chattanooga and Lookout Mountain Railway Company, August 13, 1888, filed August 14, </w:t>
      </w:r>
      <w:r>
        <w:rPr>
          <w:b/>
          <w:sz w:val="20"/>
        </w:rPr>
        <w:t>GI 65–306/307</w:t>
      </w:r>
      <w:r>
        <w:rPr>
          <w:sz w:val="20"/>
        </w:rPr>
        <w:t>. The two wives' names are retained as each document gives them; no relationship history is invented. The differing offsets may describe different segments or reference lines.</w:t>
      </w:r>
    </w:p>
    <w:p>
      <w:pPr>
        <w:spacing w:line="264" w:lineRule="auto" w:after="100"/>
        <w:ind w:left="360" w:hanging="360"/>
      </w:pPr>
      <w:r>
        <w:rPr>
          <w:sz w:val="20"/>
        </w:rPr>
        <w:t xml:space="preserve">44. </w:t>
      </w:r>
      <w:r>
        <w:rPr>
          <w:b/>
          <w:sz w:val="20"/>
        </w:rPr>
        <w:t>Documented affidavit; Inferred geographic comparison:</w:t>
      </w:r>
      <w:r>
        <w:rPr>
          <w:sz w:val="20"/>
        </w:rPr>
        <w:t xml:space="preserve"> J. G. Burton, affidavit, July 24, 1915, Hamilton County Chancery case 15249. </w:t>
      </w:r>
      <w:hyperlink r:id="rId39">
        <w:r>
          <w:rPr>
            <w:color w:val="000000"/>
            <w:u w:val="single"/>
            <w:sz w:val="20"/>
          </w:rPr>
          <w:t>Original</w:t>
        </w:r>
      </w:hyperlink>
      <w:r>
        <w:rPr>
          <w:sz w:val="20"/>
        </w:rPr>
        <w:t>. The east/west comparison depends on a common historical Boulevard alignment.</w:t>
      </w:r>
    </w:p>
    <w:p>
      <w:pPr>
        <w:spacing w:line="264" w:lineRule="auto" w:after="100"/>
        <w:ind w:left="360" w:hanging="360"/>
      </w:pPr>
      <w:r>
        <w:rPr>
          <w:sz w:val="20"/>
        </w:rPr>
        <w:t xml:space="preserve">45. </w:t>
      </w:r>
      <w:r>
        <w:rPr>
          <w:b/>
          <w:sz w:val="20"/>
        </w:rPr>
        <w:t>Documented pleading:</w:t>
      </w:r>
      <w:r>
        <w:rPr>
          <w:sz w:val="20"/>
        </w:rPr>
        <w:t xml:space="preserve"> Defendants, </w:t>
      </w:r>
      <w:r>
        <w:rPr>
          <w:i/>
          <w:sz w:val="20"/>
        </w:rPr>
        <w:t>Joint and Separate Answer</w:t>
      </w:r>
      <w:r>
        <w:rPr>
          <w:sz w:val="20"/>
        </w:rPr>
        <w:t xml:space="preserve">, August 1915, p. 4, sections VI–VII, </w:t>
      </w:r>
      <w:hyperlink r:id="rId48">
        <w:r>
          <w:rPr>
            <w:color w:val="000000"/>
            <w:u w:val="single"/>
            <w:sz w:val="20"/>
          </w:rPr>
          <w:t>IMG_0583</w:t>
        </w:r>
      </w:hyperlink>
      <w:r>
        <w:rPr>
          <w:sz w:val="20"/>
        </w:rPr>
        <w:t>. Their stated intention concerning existing graves does not establish subsequent conduct or the fate of Moore's daughter.</w:t>
      </w:r>
    </w:p>
    <w:p>
      <w:pPr>
        <w:spacing w:line="264" w:lineRule="auto" w:after="100"/>
        <w:ind w:left="360" w:hanging="360"/>
      </w:pPr>
      <w:r>
        <w:rPr>
          <w:sz w:val="20"/>
        </w:rPr>
        <w:t xml:space="preserve">46. </w:t>
      </w:r>
      <w:r>
        <w:rPr>
          <w:b/>
          <w:sz w:val="20"/>
        </w:rPr>
        <w:t>Documented pleading:</w:t>
      </w:r>
      <w:r>
        <w:rPr>
          <w:sz w:val="20"/>
        </w:rPr>
        <w:t xml:space="preserve"> Same answer, p. 2, section III, </w:t>
      </w:r>
      <w:hyperlink r:id="rId49">
        <w:r>
          <w:rPr>
            <w:color w:val="000000"/>
            <w:u w:val="single"/>
            <w:sz w:val="20"/>
          </w:rPr>
          <w:t>IMG_0581</w:t>
        </w:r>
      </w:hyperlink>
      <w:r>
        <w:rPr>
          <w:sz w:val="20"/>
        </w:rPr>
        <w:t>. The post-office reference does not by itself identify today's building.</w:t>
      </w:r>
    </w:p>
    <w:p>
      <w:pPr>
        <w:spacing w:line="264" w:lineRule="auto" w:after="100"/>
        <w:ind w:left="360" w:hanging="360"/>
      </w:pPr>
      <w:r>
        <w:rPr>
          <w:sz w:val="20"/>
        </w:rPr>
        <w:t xml:space="preserve">47. </w:t>
      </w:r>
      <w:r>
        <w:rPr>
          <w:b/>
          <w:sz w:val="20"/>
        </w:rPr>
        <w:t>Documented affidavit / Inferred spatial correspondence:</w:t>
      </w:r>
      <w:r>
        <w:rPr>
          <w:sz w:val="20"/>
        </w:rPr>
        <w:t xml:space="preserve"> J. G. Burton, July 24, 1915, </w:t>
      </w:r>
      <w:hyperlink r:id="rId39">
        <w:r>
          <w:rPr>
            <w:color w:val="000000"/>
            <w:u w:val="single"/>
            <w:sz w:val="20"/>
          </w:rPr>
          <w:t>IMG_0611</w:t>
        </w:r>
      </w:hyperlink>
      <w:r>
        <w:rPr>
          <w:sz w:val="20"/>
        </w:rPr>
        <w:t>. Historical road alignment remains to be established.</w:t>
      </w:r>
    </w:p>
    <w:p>
      <w:pPr>
        <w:spacing w:line="264" w:lineRule="auto" w:after="100"/>
        <w:ind w:left="360" w:hanging="360"/>
      </w:pPr>
      <w:r>
        <w:rPr>
          <w:sz w:val="20"/>
        </w:rPr>
        <w:t xml:space="preserve">48. </w:t>
      </w:r>
      <w:r>
        <w:rPr>
          <w:b/>
          <w:sz w:val="20"/>
        </w:rPr>
        <w:t>Documented defense description:</w:t>
      </w:r>
      <w:r>
        <w:rPr>
          <w:sz w:val="20"/>
        </w:rPr>
        <w:t xml:space="preserve"> Answer p. 5, opening paragraph, </w:t>
      </w:r>
      <w:hyperlink r:id="rId50">
        <w:r>
          <w:rPr>
            <w:color w:val="000000"/>
            <w:u w:val="single"/>
            <w:sz w:val="20"/>
          </w:rPr>
          <w:t>IMG_0584</w:t>
        </w:r>
      </w:hyperlink>
      <w:r>
        <w:rPr>
          <w:sz w:val="20"/>
        </w:rPr>
        <w:t>. A competing property description, not an adjudicated cemetery survey.</w:t>
      </w:r>
    </w:p>
    <w:p>
      <w:pPr>
        <w:spacing w:line="264" w:lineRule="auto" w:after="100"/>
        <w:ind w:left="360" w:hanging="360"/>
      </w:pPr>
      <w:r>
        <w:rPr>
          <w:sz w:val="20"/>
        </w:rPr>
        <w:t xml:space="preserve">49. </w:t>
      </w:r>
      <w:r>
        <w:rPr>
          <w:b/>
          <w:sz w:val="20"/>
        </w:rPr>
        <w:t>Documented testimony; attributed recollections and denials:</w:t>
      </w:r>
      <w:r>
        <w:rPr>
          <w:sz w:val="20"/>
        </w:rPr>
        <w:t xml:space="preserve"> H. Clay Evans, same case, deposition heading January 27, 1916, printed pp. 2–3, questions 4–15: </w:t>
      </w:r>
      <w:hyperlink r:id="rId51">
        <w:r>
          <w:rPr>
            <w:color w:val="000000"/>
            <w:u w:val="single"/>
            <w:sz w:val="20"/>
          </w:rPr>
          <w:t>IMG_0573</w:t>
        </w:r>
      </w:hyperlink>
      <w:r>
        <w:rPr>
          <w:sz w:val="20"/>
        </w:rPr>
        <w:t xml:space="preserve"> and </w:t>
      </w:r>
      <w:hyperlink r:id="rId52">
        <w:r>
          <w:rPr>
            <w:color w:val="000000"/>
            <w:u w:val="single"/>
            <w:sz w:val="20"/>
          </w:rPr>
          <w:t>IMG_0574</w:t>
        </w:r>
      </w:hyperlink>
      <w:r>
        <w:rPr>
          <w:sz w:val="20"/>
        </w:rPr>
        <w:t>. IMG_0572 is another photograph of p. 2 with part of answer 4 hidden by a fold. Original JPEGs visually read September 22, 2026. Fifty years concerns property knowledge, not a period of cemetery use; the small excluded triangle is not identified as the cemetery. Statements about consent and disturbance are Evans's testimony, not proof of every owner's conduct or later events.</w:t>
      </w:r>
    </w:p>
    <w:p>
      <w:pPr>
        <w:spacing w:line="264" w:lineRule="auto" w:after="100"/>
        <w:ind w:left="360" w:hanging="360"/>
      </w:pPr>
      <w:r>
        <w:rPr>
          <w:sz w:val="20"/>
        </w:rPr>
        <w:t xml:space="preserve">50. </w:t>
      </w:r>
      <w:r>
        <w:rPr>
          <w:b/>
          <w:sz w:val="20"/>
        </w:rPr>
        <w:t>Documented testimony:</w:t>
      </w:r>
      <w:r>
        <w:rPr>
          <w:sz w:val="20"/>
        </w:rPr>
        <w:t xml:space="preserve"> D. P. Montague, direct examination, questions 1–5, 1916 deposition packet, </w:t>
      </w:r>
      <w:hyperlink r:id="rId53">
        <w:r>
          <w:rPr>
            <w:color w:val="000000"/>
            <w:u w:val="single"/>
            <w:sz w:val="20"/>
          </w:rPr>
          <w:t>IMG_0578</w:t>
        </w:r>
      </w:hyperlink>
      <w:r>
        <w:rPr>
          <w:sz w:val="20"/>
        </w:rPr>
        <w:t>. Estimated years are his recollection.</w:t>
      </w:r>
    </w:p>
    <w:p>
      <w:pPr>
        <w:spacing w:line="264" w:lineRule="auto" w:after="100"/>
        <w:ind w:left="360" w:hanging="360"/>
      </w:pPr>
      <w:r>
        <w:rPr>
          <w:sz w:val="20"/>
        </w:rPr>
        <w:t xml:space="preserve">51. </w:t>
      </w:r>
      <w:r>
        <w:rPr>
          <w:b/>
          <w:sz w:val="20"/>
        </w:rPr>
        <w:t>Documented deed recitals:</w:t>
      </w:r>
      <w:r>
        <w:rPr>
          <w:sz w:val="20"/>
        </w:rPr>
        <w:t xml:space="preserve"> Answer p. 3, </w:t>
      </w:r>
      <w:hyperlink r:id="rId54">
        <w:r>
          <w:rPr>
            <w:color w:val="000000"/>
            <w:u w:val="single"/>
            <w:sz w:val="20"/>
          </w:rPr>
          <w:t>IMG_0582</w:t>
        </w:r>
      </w:hyperlink>
      <w:r>
        <w:rPr>
          <w:sz w:val="20"/>
        </w:rPr>
        <w:t xml:space="preserve">: numeric </w:t>
      </w:r>
      <w:r>
        <w:rPr>
          <w:b/>
          <w:sz w:val="20"/>
        </w:rPr>
        <w:t>GI 44–113</w:t>
      </w:r>
      <w:r>
        <w:rPr>
          <w:sz w:val="20"/>
        </w:rPr>
        <w:t xml:space="preserve"> and </w:t>
      </w:r>
      <w:r>
        <w:rPr>
          <w:b/>
          <w:sz w:val="20"/>
        </w:rPr>
        <w:t>GI 124–578</w:t>
      </w:r>
      <w:r>
        <w:rPr>
          <w:sz w:val="20"/>
        </w:rPr>
        <w:t>. These establish which deeds defendants cited; they do not complete the title chain or a modern survey.</w:t>
      </w:r>
    </w:p>
    <w:p>
      <w:pPr>
        <w:spacing w:line="264" w:lineRule="auto" w:after="100"/>
        <w:ind w:left="360" w:hanging="360"/>
      </w:pPr>
      <w:r>
        <w:rPr>
          <w:sz w:val="20"/>
        </w:rPr>
        <w:t xml:space="preserve">52. </w:t>
      </w:r>
      <w:r>
        <w:rPr>
          <w:b/>
          <w:sz w:val="20"/>
        </w:rPr>
        <w:t>Documented deed provisions:</w:t>
      </w:r>
      <w:r>
        <w:rPr>
          <w:sz w:val="20"/>
        </w:rPr>
        <w:t xml:space="preserve"> Hamilton County Register of Deeds, Alexander Hunt and wife to W. R. King, H. Clay Evans, D. Woodworth Jr., H. F. Temple and W. S. Marshall, January 31, 1885, </w:t>
      </w:r>
      <w:r>
        <w:rPr>
          <w:b/>
          <w:sz w:val="20"/>
        </w:rPr>
        <w:t>GI 44, pp. 113–114</w:t>
      </w:r>
      <w:r>
        <w:rPr>
          <w:sz w:val="20"/>
        </w:rPr>
        <w:t>, filed February 2, 1885. User-held original, “DEED R 113 (44-113).pdf,” both pages visually read September 22, 2026. The approximately thirty-eight-acre option is distinct from the conveyance; its exercise and the required railway completion are unproved by this instrument. The separate agreement of the same date remains unread.</w:t>
      </w:r>
    </w:p>
    <w:p>
      <w:pPr>
        <w:spacing w:line="264" w:lineRule="auto" w:after="100"/>
        <w:ind w:left="360" w:hanging="360"/>
      </w:pPr>
      <w:r>
        <w:rPr>
          <w:sz w:val="20"/>
        </w:rPr>
        <w:t xml:space="preserve">53. </w:t>
      </w:r>
      <w:r>
        <w:rPr>
          <w:b/>
          <w:sz w:val="20"/>
        </w:rPr>
        <w:t>Documented deed provisions:</w:t>
      </w:r>
      <w:r>
        <w:rPr>
          <w:sz w:val="20"/>
        </w:rPr>
        <w:t xml:space="preserve"> Same office, Lookout Mountain Company to Henry Stix, trustee, </w:t>
      </w:r>
      <w:r>
        <w:rPr>
          <w:b/>
          <w:sz w:val="20"/>
        </w:rPr>
        <w:t>GI 124, pp. 578–581</w:t>
      </w:r>
      <w:r>
        <w:rPr>
          <w:sz w:val="20"/>
        </w:rPr>
        <w:t>; corporate execution December 21, 1894, corporate acknowledgment December 31, separate Whiteside acknowledgment January 1, 1895, filed January 2, 1895. User-held original, “DEED T 5 578 (124-578).pdf,” all four pages visually read September 22, 2026. Large tract and bounds on p. 578; subdivision lots and beneficiary proportions on p. 579. Faded earlier grantor initials remain unresolved. The 1915 answer cites this deed; neither its stated acreage nor its trust proportions establish a cemetery boundary or the complete later chain.</w:t>
      </w:r>
    </w:p>
    <w:p>
      <w:pPr>
        <w:spacing w:line="264" w:lineRule="auto" w:after="100"/>
        <w:ind w:left="360" w:hanging="360"/>
      </w:pPr>
      <w:r>
        <w:rPr>
          <w:sz w:val="20"/>
        </w:rPr>
        <w:t xml:space="preserve">54. </w:t>
      </w:r>
      <w:r>
        <w:rPr>
          <w:b/>
          <w:sz w:val="20"/>
        </w:rPr>
        <w:t>Documented judicial opinion; Inferred connection to the deed's lien:</w:t>
      </w:r>
      <w:r>
        <w:rPr>
          <w:sz w:val="20"/>
        </w:rPr>
        <w:t xml:space="preserve"> Tennessee Supreme Court, McAlister, J., </w:t>
      </w:r>
      <w:r>
        <w:rPr>
          <w:i/>
          <w:sz w:val="20"/>
        </w:rPr>
        <w:t>Grant v. Lookout Mountain Co.</w:t>
      </w:r>
      <w:r>
        <w:rPr>
          <w:sz w:val="20"/>
        </w:rPr>
        <w:t xml:space="preserve">, </w:t>
      </w:r>
      <w:r>
        <w:rPr>
          <w:b/>
          <w:sz w:val="20"/>
        </w:rPr>
        <w:t>93 Tenn. 691–701</w:t>
      </w:r>
      <w:r>
        <w:rPr>
          <w:sz w:val="20"/>
        </w:rPr>
        <w:t xml:space="preserve">, October 25, 1894; facts and procedural history pp. 692–694, disposition pp. 700–701. Harvard Law School Library, Caselaw Access Project, </w:t>
      </w:r>
      <w:hyperlink r:id="rId55">
        <w:r>
          <w:rPr>
            <w:color w:val="000000"/>
            <w:u w:val="single"/>
            <w:sz w:val="20"/>
          </w:rPr>
          <w:t>original scanned opinion</w:t>
        </w:r>
      </w:hyperlink>
      <w:r>
        <w:rPr>
          <w:sz w:val="20"/>
        </w:rPr>
        <w:t>. All eleven printed pages visually checked September 22, 2026; unchanged original preserved. GI 124 p. 580 reads M. Grant; the name, jurisdiction and lien subject strongly support correspondence, but the local docket number is blank and the underlying property schedules remain unread. No cemetery reference or boundary is supplied by the published opinion.</w:t>
      </w:r>
    </w:p>
    <w:p>
      <w:pPr>
        <w:spacing w:line="264" w:lineRule="auto" w:after="100"/>
        <w:ind w:left="360" w:hanging="360"/>
      </w:pPr>
      <w:r>
        <w:rPr>
          <w:sz w:val="20"/>
        </w:rPr>
        <w:t xml:space="preserve">55. </w:t>
      </w:r>
      <w:r>
        <w:rPr>
          <w:b/>
          <w:sz w:val="20"/>
        </w:rPr>
        <w:t>Documented deposition statement:</w:t>
      </w:r>
      <w:r>
        <w:rPr>
          <w:sz w:val="20"/>
        </w:rPr>
        <w:t xml:space="preserve"> Montague cross-examination and Trimble admission, </w:t>
      </w:r>
      <w:hyperlink r:id="rId56">
        <w:r>
          <w:rPr>
            <w:color w:val="000000"/>
            <w:u w:val="single"/>
            <w:sz w:val="20"/>
          </w:rPr>
          <w:t>IMG_0579</w:t>
        </w:r>
      </w:hyperlink>
      <w:r>
        <w:rPr>
          <w:sz w:val="20"/>
        </w:rPr>
        <w:t>. Packet heading January 27, 1916; Montague jurat February 17, 1916. The admission distinguishes legal and equitable ownership and unequal individual interests within the five-eighths group.</w:t>
      </w:r>
    </w:p>
    <w:p>
      <w:pPr>
        <w:spacing w:line="264" w:lineRule="auto" w:after="100"/>
        <w:ind w:left="360" w:hanging="360"/>
      </w:pPr>
      <w:r>
        <w:rPr>
          <w:sz w:val="20"/>
        </w:rPr>
        <w:t xml:space="preserve">56. </w:t>
      </w:r>
      <w:r>
        <w:rPr>
          <w:b/>
          <w:sz w:val="20"/>
        </w:rPr>
        <w:t>Documented memorandum:</w:t>
      </w:r>
      <w:r>
        <w:rPr>
          <w:sz w:val="20"/>
        </w:rPr>
        <w:t xml:space="preserve"> W. B. Garvin, November 1916, </w:t>
      </w:r>
      <w:hyperlink r:id="rId57">
        <w:r>
          <w:rPr>
            <w:color w:val="000000"/>
            <w:u w:val="single"/>
            <w:sz w:val="20"/>
          </w:rPr>
          <w:t>IMG_0597</w:t>
        </w:r>
      </w:hyperlink>
      <w:r>
        <w:rPr>
          <w:sz w:val="20"/>
        </w:rPr>
        <w:t xml:space="preserve">, </w:t>
      </w:r>
      <w:hyperlink r:id="rId58">
        <w:r>
          <w:rPr>
            <w:color w:val="000000"/>
            <w:u w:val="single"/>
            <w:sz w:val="20"/>
          </w:rPr>
          <w:t>IMG_0598</w:t>
        </w:r>
      </w:hyperlink>
      <w:r>
        <w:rPr>
          <w:sz w:val="20"/>
        </w:rPr>
        <w:t xml:space="preserve">, and final decree, December 1916, </w:t>
      </w:r>
      <w:hyperlink r:id="rId59">
        <w:r>
          <w:rPr>
            <w:color w:val="000000"/>
            <w:u w:val="single"/>
            <w:sz w:val="20"/>
          </w:rPr>
          <w:t>IMG_0593</w:t>
        </w:r>
      </w:hyperlink>
      <w:r>
        <w:rPr>
          <w:sz w:val="20"/>
        </w:rPr>
        <w:t>. No finding about present-day title or rights is intended.</w:t>
      </w:r>
    </w:p>
    <w:p>
      <w:pPr>
        <w:spacing w:line="264" w:lineRule="auto" w:after="100"/>
        <w:ind w:left="360" w:hanging="360"/>
      </w:pPr>
      <w:r>
        <w:rPr>
          <w:sz w:val="20"/>
        </w:rPr>
        <w:t xml:space="preserve">57. </w:t>
      </w:r>
      <w:r>
        <w:rPr>
          <w:b/>
          <w:sz w:val="20"/>
        </w:rPr>
        <w:t>Documented:</w:t>
      </w:r>
      <w:r>
        <w:rPr>
          <w:sz w:val="20"/>
        </w:rPr>
        <w:t xml:space="preserve"> Hamilton County Chancery Court, </w:t>
      </w:r>
      <w:r>
        <w:rPr>
          <w:i/>
          <w:sz w:val="20"/>
        </w:rPr>
        <w:t>Isaac Moore, Sr., et al. v. H. Clay Evans, et al.</w:t>
      </w:r>
      <w:r>
        <w:rPr>
          <w:sz w:val="20"/>
        </w:rPr>
        <w:t xml:space="preserve">, No. 15249, exhibit to Evans deposition, 1916 case file, </w:t>
      </w:r>
      <w:hyperlink r:id="rId60">
        <w:r>
          <w:rPr>
            <w:color w:val="000000"/>
            <w:u w:val="single"/>
            <w:sz w:val="20"/>
          </w:rPr>
          <w:t>IMG_0577</w:t>
        </w:r>
      </w:hyperlink>
      <w:r>
        <w:rPr>
          <w:sz w:val="20"/>
        </w:rPr>
        <w:t>. The opening's phrasing is literary description of the image, not a claim that its drawing is a modern survey.</w:t>
      </w:r>
    </w:p>
    <w:p>
      <w:pPr>
        <w:spacing w:line="264" w:lineRule="auto" w:after="100"/>
        <w:ind w:left="360" w:hanging="360"/>
      </w:pPr>
      <w:r>
        <w:rPr>
          <w:sz w:val="20"/>
        </w:rPr>
        <w:t xml:space="preserve">58. </w:t>
      </w:r>
      <w:r>
        <w:rPr>
          <w:b/>
          <w:sz w:val="20"/>
        </w:rPr>
        <w:t>Documented testimony; interpretation of the line-making method:</w:t>
      </w:r>
      <w:r>
        <w:rPr>
          <w:sz w:val="20"/>
        </w:rPr>
        <w:t xml:space="preserve"> Isaac Moore Jr., same case, handwritten pp. 11–12 and closing leaf, jurat January 18, 1916: </w:t>
      </w:r>
      <w:hyperlink r:id="rId61">
        <w:r>
          <w:rPr>
            <w:color w:val="000000"/>
            <w:u w:val="single"/>
            <w:sz w:val="20"/>
          </w:rPr>
          <w:t>IMG_0565</w:t>
        </w:r>
      </w:hyperlink>
      <w:r>
        <w:rPr>
          <w:sz w:val="20"/>
        </w:rPr>
        <w:t xml:space="preserve">, </w:t>
      </w:r>
      <w:hyperlink r:id="rId62">
        <w:r>
          <w:rPr>
            <w:color w:val="000000"/>
            <w:u w:val="single"/>
            <w:sz w:val="20"/>
          </w:rPr>
          <w:t>IMG_0566</w:t>
        </w:r>
      </w:hyperlink>
      <w:r>
        <w:rPr>
          <w:sz w:val="20"/>
        </w:rPr>
        <w:t xml:space="preserve">, </w:t>
      </w:r>
      <w:hyperlink r:id="rId63">
        <w:r>
          <w:rPr>
            <w:color w:val="000000"/>
            <w:u w:val="single"/>
            <w:sz w:val="20"/>
          </w:rPr>
          <w:t>IMG_0567</w:t>
        </w:r>
      </w:hyperlink>
      <w:r>
        <w:rPr>
          <w:sz w:val="20"/>
        </w:rPr>
        <w:t>. IMG_0568 photographs the same closing leaf. Age, residence, exhibits and quoted answers visually checked. Questions 6–7 are partly obscured; a full transcript is not claimed. The contents of the separate missing exhibits remain unknown.</w:t>
      </w:r>
    </w:p>
    <w:p>
      <w:pPr>
        <w:spacing w:line="264" w:lineRule="auto" w:after="100"/>
        <w:ind w:left="360" w:hanging="360"/>
      </w:pPr>
      <w:r>
        <w:rPr>
          <w:sz w:val="20"/>
        </w:rPr>
        <w:t xml:space="preserve">59. </w:t>
      </w:r>
      <w:r>
        <w:rPr>
          <w:b/>
          <w:sz w:val="20"/>
        </w:rPr>
        <w:t>Documented instrument; interpretation of boundary claim:</w:t>
      </w:r>
      <w:r>
        <w:rPr>
          <w:sz w:val="20"/>
        </w:rPr>
        <w:t xml:space="preserve"> same case, writ of injunction, 1915, </w:t>
      </w:r>
      <w:hyperlink r:id="rId15">
        <w:r>
          <w:rPr>
            <w:color w:val="000000"/>
            <w:u w:val="single"/>
            <w:sz w:val="20"/>
          </w:rPr>
          <w:t>IMG_0591</w:t>
        </w:r>
      </w:hyperlink>
      <w:r>
        <w:rPr>
          <w:sz w:val="20"/>
        </w:rPr>
        <w:t>. It repeats the bill's tract description and is not an independent survey or final adjudication of a cemetery boundary. Moore's distinction between field and graves is developed in Through the gate. The later boundary reasoning must be read in the surviving memorandum with its acknowledged textual gaps.</w:t>
      </w:r>
    </w:p>
    <w:p>
      <w:pPr>
        <w:spacing w:line="264" w:lineRule="auto" w:after="100"/>
        <w:ind w:left="360" w:hanging="360"/>
      </w:pPr>
      <w:r>
        <w:rPr>
          <w:sz w:val="20"/>
        </w:rPr>
        <w:t xml:space="preserve">60. </w:t>
      </w:r>
      <w:r>
        <w:rPr>
          <w:b/>
          <w:sz w:val="20"/>
        </w:rPr>
        <w:t>Documented:</w:t>
      </w:r>
      <w:r>
        <w:rPr>
          <w:sz w:val="20"/>
        </w:rPr>
        <w:t xml:space="preserve"> Garvin, memorandum, November 1916, </w:t>
      </w:r>
      <w:hyperlink r:id="rId57">
        <w:r>
          <w:rPr>
            <w:color w:val="000000"/>
            <w:u w:val="single"/>
            <w:sz w:val="20"/>
          </w:rPr>
          <w:t>IMG_0597</w:t>
        </w:r>
      </w:hyperlink>
      <w:r>
        <w:rPr>
          <w:sz w:val="20"/>
        </w:rPr>
        <w:t xml:space="preserve"> continuing into </w:t>
      </w:r>
      <w:hyperlink r:id="rId58">
        <w:r>
          <w:rPr>
            <w:color w:val="000000"/>
            <w:u w:val="single"/>
            <w:sz w:val="20"/>
          </w:rPr>
          <w:t>IMG_0598</w:t>
        </w:r>
      </w:hyperlink>
      <w:r>
        <w:rPr>
          <w:sz w:val="20"/>
        </w:rPr>
        <w:t>. IMG_0597 was located and checked September 21, correcting the earlier missing-page assertion. The exact day is unresolved. The conditional permissive-use discussion is not a finding that Garvin decided the use was permissive.</w:t>
      </w:r>
    </w:p>
    <w:p>
      <w:pPr>
        <w:spacing w:line="264" w:lineRule="auto" w:after="100"/>
        <w:ind w:left="360" w:hanging="360"/>
      </w:pPr>
      <w:r>
        <w:rPr>
          <w:sz w:val="20"/>
        </w:rPr>
        <w:t xml:space="preserve">61. </w:t>
      </w:r>
      <w:r>
        <w:rPr>
          <w:b/>
          <w:sz w:val="20"/>
        </w:rPr>
        <w:t>Documented cross-examination:</w:t>
      </w:r>
      <w:r>
        <w:rPr>
          <w:sz w:val="20"/>
        </w:rPr>
        <w:t xml:space="preserve"> Evans, same case, deposition heading January 27, 1916, questions 16–17 and defendants' objection, </w:t>
      </w:r>
      <w:hyperlink r:id="rId64">
        <w:r>
          <w:rPr>
            <w:color w:val="000000"/>
            <w:u w:val="single"/>
            <w:sz w:val="20"/>
          </w:rPr>
          <w:t>IMG_0575</w:t>
        </w:r>
      </w:hyperlink>
      <w:r>
        <w:rPr>
          <w:sz w:val="20"/>
        </w:rPr>
        <w:t>. Jurat appears February 18, month provisional. The objection is not itself a ruling or proof of why the suit was dismissed.</w:t>
      </w:r>
    </w:p>
    <w:p>
      <w:pPr>
        <w:spacing w:line="264" w:lineRule="auto" w:after="100"/>
        <w:ind w:left="360" w:hanging="360"/>
      </w:pPr>
      <w:r>
        <w:rPr>
          <w:sz w:val="20"/>
        </w:rPr>
        <w:t xml:space="preserve">62. </w:t>
      </w:r>
      <w:r>
        <w:rPr>
          <w:b/>
          <w:sz w:val="20"/>
        </w:rPr>
        <w:t>Documented litigation argument; Reported historical claims; Inferred calendar estimate:</w:t>
      </w:r>
      <w:r>
        <w:rPr>
          <w:sz w:val="20"/>
        </w:rPr>
        <w:t xml:space="preserve"> Solicitors for Complainants, </w:t>
      </w:r>
      <w:r>
        <w:rPr>
          <w:i/>
          <w:sz w:val="20"/>
        </w:rPr>
        <w:t>Memorandum for Complainants</w:t>
      </w:r>
      <w:r>
        <w:rPr>
          <w:sz w:val="20"/>
        </w:rPr>
        <w:t xml:space="preserve">, same case, two pages, copy notation to J. M. Trimble November 17, 1916: </w:t>
      </w:r>
      <w:hyperlink r:id="rId65">
        <w:r>
          <w:rPr>
            <w:color w:val="000000"/>
            <w:u w:val="single"/>
            <w:sz w:val="20"/>
          </w:rPr>
          <w:t>IMG_0569</w:t>
        </w:r>
      </w:hyperlink>
      <w:r>
        <w:rPr>
          <w:sz w:val="20"/>
        </w:rPr>
        <w:t xml:space="preserve">, </w:t>
      </w:r>
      <w:hyperlink r:id="rId66">
        <w:r>
          <w:rPr>
            <w:color w:val="000000"/>
            <w:u w:val="single"/>
            <w:sz w:val="20"/>
          </w:rPr>
          <w:t>IMG_0570</w:t>
        </w:r>
      </w:hyperlink>
      <w:r>
        <w:rPr>
          <w:sz w:val="20"/>
        </w:rPr>
        <w:t>. Both original pages visually checked. Copy date is not a verified filing date. Twenty-six years and more implies approximately 1890 or earlier, not an exact founding year; the grave count is an estimate. The conditional concession establishes neither the disputed grave's position nor actual removal. No judicial adoption of counsel's memorandum is assumed.</w:t>
      </w:r>
    </w:p>
    <w:p>
      <w:pPr>
        <w:spacing w:line="264" w:lineRule="auto" w:after="100"/>
        <w:ind w:left="360" w:hanging="360"/>
      </w:pPr>
      <w:r>
        <w:rPr>
          <w:sz w:val="20"/>
        </w:rPr>
        <w:t xml:space="preserve">63. </w:t>
      </w:r>
      <w:r>
        <w:rPr>
          <w:b/>
          <w:sz w:val="20"/>
        </w:rPr>
        <w:t>Documented:</w:t>
      </w:r>
      <w:r>
        <w:rPr>
          <w:sz w:val="20"/>
        </w:rPr>
        <w:t xml:space="preserve"> Garvin's memorandum, </w:t>
      </w:r>
      <w:hyperlink r:id="rId58">
        <w:r>
          <w:rPr>
            <w:color w:val="000000"/>
            <w:u w:val="single"/>
            <w:sz w:val="20"/>
          </w:rPr>
          <w:t>IMG_0598</w:t>
        </w:r>
      </w:hyperlink>
      <w:r>
        <w:rPr>
          <w:sz w:val="20"/>
        </w:rPr>
        <w:t xml:space="preserve">, </w:t>
      </w:r>
      <w:hyperlink r:id="rId67">
        <w:r>
          <w:rPr>
            <w:color w:val="000000"/>
            <w:u w:val="single"/>
            <w:sz w:val="20"/>
          </w:rPr>
          <w:t>IMG_0599</w:t>
        </w:r>
      </w:hyperlink>
      <w:r>
        <w:rPr>
          <w:sz w:val="20"/>
        </w:rPr>
        <w:t xml:space="preserve">, </w:t>
      </w:r>
      <w:hyperlink r:id="rId68">
        <w:r>
          <w:rPr>
            <w:color w:val="000000"/>
            <w:u w:val="single"/>
            <w:sz w:val="20"/>
          </w:rPr>
          <w:t>IMG_0600</w:t>
        </w:r>
      </w:hyperlink>
      <w:r>
        <w:rPr>
          <w:sz w:val="20"/>
        </w:rPr>
        <w:t>. Gaps remain in the photographed memorandum.</w:t>
      </w:r>
    </w:p>
    <w:p>
      <w:pPr>
        <w:spacing w:line="264" w:lineRule="auto" w:after="100"/>
        <w:ind w:left="360" w:hanging="360"/>
      </w:pPr>
      <w:r>
        <w:rPr>
          <w:sz w:val="20"/>
        </w:rPr>
        <w:t xml:space="preserve">64. </w:t>
      </w:r>
      <w:r>
        <w:rPr>
          <w:b/>
          <w:sz w:val="20"/>
        </w:rPr>
        <w:t>Documented:</w:t>
      </w:r>
      <w:r>
        <w:rPr>
          <w:sz w:val="20"/>
        </w:rPr>
        <w:t xml:space="preserve"> Final decree, No. 15249, December 1916, </w:t>
      </w:r>
      <w:hyperlink r:id="rId59">
        <w:r>
          <w:rPr>
            <w:color w:val="000000"/>
            <w:u w:val="single"/>
            <w:sz w:val="20"/>
          </w:rPr>
          <w:t>IMG_0593</w:t>
        </w:r>
      </w:hyperlink>
      <w:r>
        <w:rPr>
          <w:sz w:val="20"/>
        </w:rPr>
        <w:t>. No amount of paid costs or damages, later removal, or family response is invented.</w:t>
      </w:r>
    </w:p>
    <w:p>
      <w:pPr>
        <w:spacing w:line="264" w:lineRule="auto" w:after="100"/>
        <w:ind w:left="360" w:hanging="360"/>
      </w:pPr>
      <w:r>
        <w:rPr>
          <w:sz w:val="20"/>
        </w:rPr>
        <w:t xml:space="preserve">65. </w:t>
      </w:r>
      <w:r>
        <w:rPr>
          <w:b/>
          <w:sz w:val="20"/>
        </w:rPr>
        <w:t>Reported inscriptions and cemetery history; Documented wording of the surviving survey leaf:</w:t>
      </w:r>
      <w:r>
        <w:rPr>
          <w:sz w:val="20"/>
        </w:rPr>
        <w:t xml:space="preserve"> Historical Records Survey, </w:t>
      </w:r>
      <w:r>
        <w:rPr>
          <w:i/>
          <w:sz w:val="20"/>
        </w:rPr>
        <w:t>Hamilton County Tombstone Inscriptions, Lookout Mountain Cemetery (Negroes)</w:t>
      </w:r>
      <w:r>
        <w:rPr>
          <w:sz w:val="20"/>
        </w:rPr>
        <w:t xml:space="preserve">, p. 31-A, undated leaf attributed to 1939, </w:t>
      </w:r>
      <w:hyperlink r:id="rId69">
        <w:r>
          <w:rPr>
            <w:color w:val="000000"/>
            <w:u w:val="single"/>
            <w:sz w:val="20"/>
          </w:rPr>
          <w:t>original image</w:t>
        </w:r>
      </w:hyperlink>
      <w:r>
        <w:rPr>
          <w:sz w:val="20"/>
        </w:rPr>
        <w:t xml:space="preserve">. Image checked September 21, 2026. The age calculation and alternative use-date arithmetic are </w:t>
      </w:r>
      <w:r>
        <w:rPr>
          <w:b/>
          <w:sz w:val="20"/>
        </w:rPr>
        <w:t>Inferred</w:t>
      </w:r>
      <w:r>
        <w:rPr>
          <w:sz w:val="20"/>
        </w:rPr>
        <w:t>. The page does not identify an enumerator or explain how the grave estimate was made. Both Moore dates are typed 1892; the nearby mark is part of the vertical column divider, not an established age.</w:t>
      </w:r>
    </w:p>
    <w:p>
      <w:pPr>
        <w:spacing w:line="264" w:lineRule="auto" w:after="100"/>
        <w:ind w:left="360" w:hanging="360"/>
      </w:pPr>
      <w:r>
        <w:rPr>
          <w:sz w:val="20"/>
        </w:rPr>
        <w:t xml:space="preserve">66. </w:t>
      </w:r>
      <w:r>
        <w:rPr>
          <w:b/>
          <w:sz w:val="20"/>
        </w:rPr>
        <w:t>Documented testimony:</w:t>
      </w:r>
      <w:r>
        <w:rPr>
          <w:sz w:val="20"/>
        </w:rPr>
        <w:t xml:space="preserve"> Hamilton County Chancery Court, </w:t>
      </w:r>
      <w:r>
        <w:rPr>
          <w:i/>
          <w:sz w:val="20"/>
        </w:rPr>
        <w:t>Isaac Moore Sr. et al. v. H. Clay Evans et al.</w:t>
      </w:r>
      <w:r>
        <w:rPr>
          <w:sz w:val="20"/>
        </w:rPr>
        <w:t xml:space="preserve">, No. 15249, Isaac Moore Sr. testimony, p. 1, questions 3–6, 1915–1916 case papers, </w:t>
      </w:r>
      <w:hyperlink r:id="rId16">
        <w:r>
          <w:rPr>
            <w:color w:val="000000"/>
            <w:u w:val="single"/>
            <w:sz w:val="20"/>
          </w:rPr>
          <w:t>IMG_0553</w:t>
        </w:r>
      </w:hyperlink>
      <w:r>
        <w:rPr>
          <w:sz w:val="20"/>
        </w:rPr>
        <w:t>. Testimony supports the 1915 burial of his unnamed daughter; identification with Rosia Ella Moore is unproved. Other witnesses' recollections are cited in the preceding community section.</w:t>
      </w:r>
    </w:p>
    <w:p>
      <w:pPr>
        <w:spacing w:line="264" w:lineRule="auto" w:after="100"/>
        <w:ind w:left="360" w:hanging="360"/>
      </w:pPr>
      <w:r>
        <w:rPr>
          <w:sz w:val="20"/>
        </w:rPr>
        <w:t xml:space="preserve">67. </w:t>
      </w:r>
      <w:r>
        <w:rPr>
          <w:b/>
          <w:sz w:val="20"/>
        </w:rPr>
        <w:t>Documented certificate wording; Inferred identity where compared with the court record:</w:t>
      </w:r>
      <w:r>
        <w:rPr>
          <w:sz w:val="20"/>
        </w:rPr>
        <w:t xml:space="preserve"> Tennessee State Board of Health, Bureau of Vital Statistics, </w:t>
      </w:r>
      <w:r>
        <w:rPr>
          <w:i/>
          <w:sz w:val="20"/>
        </w:rPr>
        <w:t>Certificate of Death: Rosa Elly Moore</w:t>
      </w:r>
      <w:r>
        <w:rPr>
          <w:sz w:val="20"/>
        </w:rPr>
        <w:t xml:space="preserve">, Hamilton County, July 27, 1915, registration district 43304, registered no. 168, filed November 26, 1915. Original-record image, Rebeca Allred research collection, attachment image-2.jpeg in “Directory audit recommended,” preserved as rosa-elly-moore-1915.jpeg and visually checked September 24, 2026. The </w:t>
      </w:r>
      <w:hyperlink r:id="rId70">
        <w:r>
          <w:rPr>
            <w:color w:val="000000"/>
            <w:u w:val="single"/>
            <w:sz w:val="20"/>
          </w:rPr>
          <w:t>TSLA index</w:t>
        </w:r>
      </w:hyperlink>
      <w:r>
        <w:rPr>
          <w:sz w:val="20"/>
        </w:rPr>
        <w:t>, separately inspected September 21, spells Ella and gives death volume 23, record 360; it is an index, not the certificate-image host. Burial day read as 28 with an ornate finishing mark; the form does not name Clift Station.</w:t>
      </w:r>
    </w:p>
    <w:p>
      <w:pPr>
        <w:spacing w:line="264" w:lineRule="auto" w:after="100"/>
        <w:ind w:left="360" w:hanging="360"/>
      </w:pPr>
      <w:r>
        <w:rPr>
          <w:sz w:val="20"/>
        </w:rPr>
        <w:t xml:space="preserve">68. </w:t>
      </w:r>
      <w:r>
        <w:rPr>
          <w:b/>
          <w:sz w:val="20"/>
        </w:rPr>
        <w:t>Documented testimony and conditional order:</w:t>
      </w:r>
      <w:r>
        <w:rPr>
          <w:sz w:val="20"/>
        </w:rPr>
        <w:t xml:space="preserve"> Hamilton County Chancery Court, </w:t>
      </w:r>
      <w:r>
        <w:rPr>
          <w:i/>
          <w:sz w:val="20"/>
        </w:rPr>
        <w:t>Isaac Moore Sr. et al. v. H. Clay Evans et al.</w:t>
      </w:r>
      <w:r>
        <w:rPr>
          <w:sz w:val="20"/>
        </w:rPr>
        <w:t xml:space="preserve">, No. 15249, Moore Sr. testimony, p. 1, questions 3–6, 1915–1916 papers, </w:t>
      </w:r>
      <w:hyperlink r:id="rId16">
        <w:r>
          <w:rPr>
            <w:color w:val="000000"/>
            <w:u w:val="single"/>
            <w:sz w:val="20"/>
          </w:rPr>
          <w:t>IMG_0553</w:t>
        </w:r>
      </w:hyperlink>
      <w:r>
        <w:rPr>
          <w:sz w:val="20"/>
        </w:rPr>
        <w:t xml:space="preserve">; W. B. Garvin, fiat, July 28, 1915, 9:10 a.m., </w:t>
      </w:r>
      <w:hyperlink r:id="rId13">
        <w:r>
          <w:rPr>
            <w:color w:val="000000"/>
            <w:u w:val="single"/>
            <w:sz w:val="20"/>
          </w:rPr>
          <w:t>IMG_0608</w:t>
        </w:r>
      </w:hyperlink>
      <w:r>
        <w:rPr>
          <w:sz w:val="20"/>
        </w:rPr>
        <w:t>. The testimony supplies the daughter's burial after the injunction without her personal name. The order does not independently date the act of burial. Identification with Rosa is a strong inference from the combined evidence.</w:t>
      </w:r>
    </w:p>
    <w:p>
      <w:pPr>
        <w:spacing w:line="264" w:lineRule="auto" w:after="100"/>
        <w:ind w:left="360" w:hanging="360"/>
      </w:pPr>
      <w:r>
        <w:rPr>
          <w:sz w:val="20"/>
        </w:rPr>
        <w:t xml:space="preserve">69. </w:t>
      </w:r>
      <w:r>
        <w:rPr>
          <w:b/>
          <w:sz w:val="20"/>
        </w:rPr>
        <w:t>Reported inscription; Documented survey wording:</w:t>
      </w:r>
      <w:r>
        <w:rPr>
          <w:sz w:val="20"/>
        </w:rPr>
        <w:t xml:space="preserve"> Historical Records Survey, </w:t>
      </w:r>
      <w:r>
        <w:rPr>
          <w:i/>
          <w:sz w:val="20"/>
        </w:rPr>
        <w:t>Hamilton County Tombstone Inscriptions, Lookout Mountain Cemetery (Negroes)</w:t>
      </w:r>
      <w:r>
        <w:rPr>
          <w:sz w:val="20"/>
        </w:rPr>
        <w:t xml:space="preserve">, p. 31-A, undated leaf attributed to 1939, </w:t>
      </w:r>
      <w:hyperlink r:id="rId69">
        <w:r>
          <w:rPr>
            <w:color w:val="000000"/>
            <w:u w:val="single"/>
            <w:sz w:val="20"/>
          </w:rPr>
          <w:t>original image</w:t>
        </w:r>
      </w:hyperlink>
      <w:r>
        <w:rPr>
          <w:sz w:val="20"/>
        </w:rPr>
        <w:t>. Both Moore dates are typed 1892. No identity between the survey's Rosia Ella and the certificate's Rosa Elly is established here.</w:t>
      </w:r>
    </w:p>
    <w:p>
      <w:pPr>
        <w:spacing w:line="264" w:lineRule="auto" w:after="100"/>
        <w:ind w:left="360" w:hanging="360"/>
      </w:pPr>
      <w:r>
        <w:rPr>
          <w:sz w:val="20"/>
        </w:rPr>
        <w:t xml:space="preserve">70. </w:t>
      </w:r>
      <w:r>
        <w:rPr>
          <w:b/>
          <w:sz w:val="20"/>
        </w:rPr>
        <w:t>Documented certificate wording; Inferred cemetery association only:</w:t>
      </w:r>
      <w:r>
        <w:rPr>
          <w:sz w:val="20"/>
        </w:rPr>
        <w:t xml:space="preserve"> Tennessee State Board of Health, Bureau of Vital Statistics, </w:t>
      </w:r>
      <w:r>
        <w:rPr>
          <w:i/>
          <w:sz w:val="20"/>
        </w:rPr>
        <w:t>Certificate of Death: Maria Mostellar</w:t>
      </w:r>
      <w:r>
        <w:rPr>
          <w:sz w:val="20"/>
        </w:rPr>
        <w:t xml:space="preserve">, Hamilton County, February 18, 1914, registration district 43304, registered no. 30, top stamps 141 and 180. Original-record image, Rebeca Allred research collection, attachment image.jpg in “Directory audit recommended,” preserved as maria-mostellar-1914.jpg and visually checked September 24, 2026. </w:t>
      </w:r>
      <w:hyperlink r:id="rId71">
        <w:r>
          <w:rPr>
            <w:color w:val="000000"/>
            <w:u w:val="single"/>
            <w:sz w:val="20"/>
          </w:rPr>
          <w:t>TSLA index</w:t>
        </w:r>
      </w:hyperlink>
      <w:r>
        <w:rPr>
          <w:sz w:val="20"/>
        </w:rPr>
        <w:t>, separately inspected September 21: death volume 23, record 141. Approximate birth and age are informant particulars, not independently verified longevity. “Spartansburg N.C.” is retained without geographic correction. The letter referred to on the form has not been recovered.</w:t>
      </w:r>
    </w:p>
    <w:p>
      <w:pPr>
        <w:spacing w:line="264" w:lineRule="auto" w:after="100"/>
        <w:ind w:left="360" w:hanging="360"/>
      </w:pPr>
      <w:r>
        <w:rPr>
          <w:sz w:val="20"/>
        </w:rPr>
        <w:t xml:space="preserve">71. </w:t>
      </w:r>
      <w:r>
        <w:rPr>
          <w:b/>
          <w:sz w:val="20"/>
        </w:rPr>
        <w:t>Reported inscription:</w:t>
      </w:r>
      <w:r>
        <w:rPr>
          <w:sz w:val="20"/>
        </w:rPr>
        <w:t xml:space="preserve"> Historical Records Survey, </w:t>
      </w:r>
      <w:r>
        <w:rPr>
          <w:i/>
          <w:sz w:val="20"/>
        </w:rPr>
        <w:t>Hamilton County Tombstone Inscriptions</w:t>
      </w:r>
      <w:r>
        <w:rPr>
          <w:sz w:val="20"/>
        </w:rPr>
        <w:t xml:space="preserve">, “Lookout Mountain Cemetery (Negroes),” p. 31-A, undated leaf attributed to 1939, </w:t>
      </w:r>
      <w:hyperlink r:id="rId69">
        <w:r>
          <w:rPr>
            <w:color w:val="000000"/>
            <w:u w:val="single"/>
            <w:sz w:val="20"/>
          </w:rPr>
          <w:t>original WPA image</w:t>
        </w:r>
      </w:hyperlink>
      <w:r>
        <w:rPr>
          <w:sz w:val="20"/>
        </w:rPr>
        <w:t xml:space="preserve">. The possible membership-record route is </w:t>
      </w:r>
      <w:r>
        <w:rPr>
          <w:b/>
          <w:sz w:val="20"/>
        </w:rPr>
        <w:t>Inferred</w:t>
      </w:r>
      <w:r>
        <w:rPr>
          <w:sz w:val="20"/>
        </w:rPr>
        <w:t>; no church register identifying Lockwood has been inspected.</w:t>
      </w:r>
    </w:p>
    <w:p>
      <w:pPr>
        <w:spacing w:line="264" w:lineRule="auto" w:after="100"/>
        <w:ind w:left="360" w:hanging="360"/>
      </w:pPr>
      <w:r>
        <w:rPr>
          <w:sz w:val="20"/>
        </w:rPr>
        <w:t xml:space="preserve">72. </w:t>
      </w:r>
      <w:r>
        <w:rPr>
          <w:b/>
          <w:sz w:val="20"/>
        </w:rPr>
        <w:t>Documented church directory and internal index:</w:t>
      </w:r>
      <w:r>
        <w:rPr>
          <w:sz w:val="20"/>
        </w:rPr>
        <w:t xml:space="preserve"> Tennessee Historical Records Survey Project, Division of Professional and Service Projects, Work Projects Administration, </w:t>
      </w:r>
      <w:r>
        <w:rPr>
          <w:i/>
          <w:sz w:val="20"/>
        </w:rPr>
        <w:t>Directory of Churches, Missions, and Religious Institutions of Tennessee</w:t>
      </w:r>
      <w:r>
        <w:rPr>
          <w:sz w:val="20"/>
        </w:rPr>
        <w:t xml:space="preserve">, No. 33: Hamilton County (Chattanooga) (Nashville: Tennessee Historical Records Survey Project, December 1940), pp. 8–11, 70. Sponsored by Tennessee State Planning Commission and Hamilton County. University of Michigan original, digitized by Google, HathiTrust mdp. 39015026253479, catalog 001921327. </w:t>
      </w:r>
      <w:hyperlink r:id="rId72">
        <w:r>
          <w:rPr>
            <w:color w:val="000000"/>
            <w:u w:val="single"/>
            <w:sz w:val="20"/>
          </w:rPr>
          <w:t>First Church and Flemister, p. 11 / scan 37</w:t>
        </w:r>
      </w:hyperlink>
      <w:r>
        <w:rPr>
          <w:sz w:val="20"/>
        </w:rPr>
        <w:t xml:space="preserve">; </w:t>
      </w:r>
      <w:hyperlink r:id="rId73">
        <w:r>
          <w:rPr>
            <w:color w:val="000000"/>
            <w:u w:val="single"/>
            <w:sz w:val="20"/>
          </w:rPr>
          <w:t>First Baptist index, p. 70 / scan 155</w:t>
        </w:r>
      </w:hyperlink>
      <w:r>
        <w:rPr>
          <w:sz w:val="20"/>
        </w:rPr>
        <w:t>. Relevant original images and denominational heading continuations visually checked September 22, 2026. No Lockwood-era institutional continuity or cemetery management is established.</w:t>
      </w:r>
    </w:p>
    <w:p>
      <w:pPr>
        <w:spacing w:line="264" w:lineRule="auto" w:after="100"/>
        <w:ind w:left="360" w:hanging="360"/>
      </w:pPr>
      <w:r>
        <w:rPr>
          <w:sz w:val="20"/>
        </w:rPr>
        <w:t xml:space="preserve">73. </w:t>
      </w:r>
      <w:r>
        <w:rPr>
          <w:b/>
          <w:sz w:val="20"/>
        </w:rPr>
        <w:t>Reported historical directory entry:</w:t>
      </w:r>
      <w:r>
        <w:rPr>
          <w:sz w:val="20"/>
        </w:rPr>
        <w:t xml:space="preserve"> Tennessee War Services Project, </w:t>
      </w:r>
      <w:r>
        <w:rPr>
          <w:i/>
          <w:sz w:val="20"/>
        </w:rPr>
        <w:t>Guide to Church Vital Statistics in Tennessee</w:t>
      </w:r>
      <w:r>
        <w:rPr>
          <w:sz w:val="20"/>
        </w:rPr>
        <w:t xml:space="preserve"> (Nashville: War Services Section, 1942), Hamilton County section; </w:t>
      </w:r>
      <w:hyperlink r:id="rId74">
        <w:r>
          <w:rPr>
            <w:color w:val="000000"/>
            <w:u w:val="single"/>
            <w:sz w:val="20"/>
          </w:rPr>
          <w:t>TNGenWeb transcription</w:t>
        </w:r>
      </w:hyperlink>
      <w:r>
        <w:rPr>
          <w:sz w:val="20"/>
        </w:rPr>
        <w:t>, “Lookout Mountain Section,” accessed September 21, 2026. Original entry not yet inspected. Historical custodianship and address are not present-day contact information.</w:t>
      </w:r>
    </w:p>
    <w:p>
      <w:pPr>
        <w:spacing w:line="264" w:lineRule="auto" w:after="100"/>
        <w:ind w:left="360" w:hanging="360"/>
      </w:pPr>
      <w:r>
        <w:rPr>
          <w:sz w:val="20"/>
        </w:rPr>
        <w:t xml:space="preserve">74. </w:t>
      </w:r>
      <w:r>
        <w:rPr>
          <w:b/>
          <w:sz w:val="20"/>
        </w:rPr>
        <w:t>Documented publication and compilation methods; Reported organization dates:</w:t>
      </w:r>
      <w:r>
        <w:rPr>
          <w:sz w:val="20"/>
        </w:rPr>
        <w:t xml:space="preserve"> Tennessee Historical Records Survey Project, </w:t>
      </w:r>
      <w:r>
        <w:rPr>
          <w:i/>
          <w:sz w:val="20"/>
        </w:rPr>
        <w:t>Directory of Churches</w:t>
      </w:r>
      <w:r>
        <w:rPr>
          <w:sz w:val="20"/>
        </w:rPr>
        <w:t xml:space="preserve">, No. 33 (December 1940), title, preface pp. i–ii, explanatory notes p. iii, and table headings p. 1. </w:t>
      </w:r>
      <w:hyperlink r:id="rId75">
        <w:r>
          <w:rPr>
            <w:color w:val="000000"/>
            <w:u w:val="single"/>
            <w:sz w:val="20"/>
          </w:rPr>
          <w:t>Title / scan 3</w:t>
        </w:r>
      </w:hyperlink>
      <w:r>
        <w:rPr>
          <w:sz w:val="20"/>
        </w:rPr>
        <w:t xml:space="preserve">; </w:t>
      </w:r>
      <w:hyperlink r:id="rId76">
        <w:r>
          <w:rPr>
            <w:color w:val="000000"/>
            <w:u w:val="single"/>
            <w:sz w:val="20"/>
          </w:rPr>
          <w:t>preface p. i / scan 5</w:t>
        </w:r>
      </w:hyperlink>
      <w:r>
        <w:rPr>
          <w:sz w:val="20"/>
        </w:rPr>
        <w:t xml:space="preserve">; </w:t>
      </w:r>
      <w:hyperlink r:id="rId77">
        <w:r>
          <w:rPr>
            <w:color w:val="000000"/>
            <w:u w:val="single"/>
            <w:sz w:val="20"/>
          </w:rPr>
          <w:t>signed preface p. ii / scan 7</w:t>
        </w:r>
      </w:hyperlink>
      <w:r>
        <w:rPr>
          <w:sz w:val="20"/>
        </w:rPr>
        <w:t xml:space="preserve">; </w:t>
      </w:r>
      <w:hyperlink r:id="rId78">
        <w:r>
          <w:rPr>
            <w:color w:val="000000"/>
            <w:u w:val="single"/>
            <w:sz w:val="20"/>
          </w:rPr>
          <w:t>explanatory notes / scan 9</w:t>
        </w:r>
      </w:hyperlink>
      <w:r>
        <w:rPr>
          <w:sz w:val="20"/>
        </w:rPr>
        <w:t>. Originals visually checked September 22, 2026. Dates of organization are those claimed officially by churches. The general description of compilation does not identify an individual entry's informant or collection date; the named church-directory field workers are not assigned authorship of the cemetery transcription.</w:t>
      </w:r>
    </w:p>
    <w:p>
      <w:pPr>
        <w:spacing w:line="264" w:lineRule="auto" w:after="100"/>
        <w:ind w:left="360" w:hanging="360"/>
      </w:pPr>
      <w:r>
        <w:rPr>
          <w:sz w:val="20"/>
        </w:rPr>
        <w:t xml:space="preserve">75. </w:t>
      </w:r>
      <w:r>
        <w:rPr>
          <w:b/>
          <w:sz w:val="20"/>
        </w:rPr>
        <w:t>Documented convention enrollment; Inferred identity comparison:</w:t>
      </w:r>
      <w:r>
        <w:rPr>
          <w:sz w:val="20"/>
        </w:rPr>
        <w:t xml:space="preserve"> National Baptist Convention, </w:t>
      </w:r>
      <w:r>
        <w:rPr>
          <w:i/>
          <w:sz w:val="20"/>
        </w:rPr>
        <w:t>Journal of the Forty-Sixth Annual Session</w:t>
      </w:r>
      <w:r>
        <w:rPr>
          <w:sz w:val="20"/>
        </w:rPr>
        <w:t xml:space="preserve">, Fort Worth, September 8–13, 1926 (Nashville: Sunday School Publishing Board, </w:t>
      </w:r>
      <w:r>
        <w:rPr>
          <w:sz w:val="20"/>
        </w:rPr>
        <w:t>[1926]</w:t>
      </w:r>
      <w:r>
        <w:rPr>
          <w:sz w:val="20"/>
        </w:rPr>
        <w:t xml:space="preserve">), pp. 304, 319, PDF pages 159, 166. </w:t>
      </w:r>
      <w:hyperlink r:id="rId79">
        <w:r>
          <w:rPr>
            <w:color w:val="000000"/>
            <w:u w:val="single"/>
            <w:sz w:val="20"/>
          </w:rPr>
          <w:t>Original journal</w:t>
        </w:r>
      </w:hyperlink>
      <w:r>
        <w:rPr>
          <w:sz w:val="20"/>
        </w:rPr>
        <w:t>. Digital Resources Collection, Southern Baptist Historical Library and Archives, Nashville, Tennessee. Original title, enrollment heading and Mt. Calvary entry visually checked September 22, 2026. The listing does not expressly state Dial's office in that church or prove convention attendance. Identity with the cemetery witness remains inferred.</w:t>
      </w:r>
    </w:p>
    <w:p>
      <w:pPr>
        <w:spacing w:line="264" w:lineRule="auto" w:after="100"/>
        <w:ind w:left="360" w:hanging="360"/>
      </w:pPr>
      <w:r>
        <w:rPr>
          <w:sz w:val="20"/>
        </w:rPr>
        <w:t xml:space="preserve">76. </w:t>
      </w:r>
      <w:r>
        <w:rPr>
          <w:b/>
          <w:sz w:val="20"/>
        </w:rPr>
        <w:t>Documented convention enrollment; Inferred identity comparison:</w:t>
      </w:r>
      <w:r>
        <w:rPr>
          <w:sz w:val="20"/>
        </w:rPr>
        <w:t xml:space="preserve"> National Baptist Convention, </w:t>
      </w:r>
      <w:r>
        <w:rPr>
          <w:i/>
          <w:sz w:val="20"/>
        </w:rPr>
        <w:t>Proceedings of the Forty-Seventh Annual Session</w:t>
      </w:r>
      <w:r>
        <w:rPr>
          <w:sz w:val="20"/>
        </w:rPr>
        <w:t xml:space="preserve">, Detroit, Michigan, September 7–12, 1927 (Nashville: Sunday School Publishing Board, </w:t>
      </w:r>
      <w:r>
        <w:rPr>
          <w:sz w:val="20"/>
        </w:rPr>
        <w:t>[1927]</w:t>
      </w:r>
      <w:r>
        <w:rPr>
          <w:sz w:val="20"/>
        </w:rPr>
        <w:t xml:space="preserve">), pp. 263, 278–279, PDF pages 142 and 150. </w:t>
      </w:r>
      <w:hyperlink r:id="rId80">
        <w:r>
          <w:rPr>
            <w:color w:val="000000"/>
            <w:u w:val="single"/>
            <w:sz w:val="20"/>
          </w:rPr>
          <w:t>Original proceedings</w:t>
        </w:r>
      </w:hyperlink>
      <w:r>
        <w:rPr>
          <w:sz w:val="20"/>
        </w:rPr>
        <w:t>. Digital Resources Collection, Southern Baptist Historical Library and Archives, Nashville, Tennessee. Original title, enrollment heading and Olivet entry visually checked September 22, 2026. Entry does not expressly identify Dial's congregational office or establish attendance; personal identity with the court witness remains inferred.</w:t>
      </w:r>
    </w:p>
    <w:p>
      <w:pPr>
        <w:spacing w:line="264" w:lineRule="auto" w:after="100"/>
        <w:ind w:left="360" w:hanging="360"/>
      </w:pPr>
      <w:r>
        <w:rPr>
          <w:sz w:val="20"/>
        </w:rPr>
        <w:t xml:space="preserve">77. </w:t>
      </w:r>
      <w:r>
        <w:rPr>
          <w:b/>
          <w:sz w:val="20"/>
        </w:rPr>
        <w:t>Documented convention enrollment; Inferred identity comparison:</w:t>
      </w:r>
      <w:r>
        <w:rPr>
          <w:sz w:val="20"/>
        </w:rPr>
        <w:t xml:space="preserve"> National Baptist Convention, </w:t>
      </w:r>
      <w:r>
        <w:rPr>
          <w:i/>
          <w:sz w:val="20"/>
        </w:rPr>
        <w:t>Proceedings of the Fifty-Sixth Annual Session</w:t>
      </w:r>
      <w:r>
        <w:rPr>
          <w:sz w:val="20"/>
        </w:rPr>
        <w:t>, Jacksonville, Florida, September 9–14, 1936 (</w:t>
      </w:r>
      <w:r>
        <w:rPr>
          <w:sz w:val="20"/>
        </w:rPr>
        <w:t>[1936]</w:t>
      </w:r>
      <w:r>
        <w:rPr>
          <w:sz w:val="20"/>
        </w:rPr>
        <w:t xml:space="preserve">), pp. 232 and 248, PDF pages 118 and 126. </w:t>
      </w:r>
      <w:hyperlink r:id="rId81">
        <w:r>
          <w:rPr>
            <w:color w:val="000000"/>
            <w:u w:val="single"/>
            <w:sz w:val="20"/>
          </w:rPr>
          <w:t>Original proceedings</w:t>
        </w:r>
      </w:hyperlink>
      <w:r>
        <w:rPr>
          <w:sz w:val="20"/>
        </w:rPr>
        <w:t>. Digital Resources Collection, Southern Baptist Historical Library and Archives, Nashville, Tennessee. Original title, heading and entry visually checked September 22, 2026. Publisher not established from the inspected title. The image reads R.F.D. 135; it does not establish that 135 and Route 35 in other volumes are equivalent.</w:t>
      </w:r>
    </w:p>
    <w:p>
      <w:pPr>
        <w:spacing w:line="264" w:lineRule="auto" w:after="100"/>
        <w:ind w:left="360" w:hanging="360"/>
      </w:pPr>
      <w:r>
        <w:rPr>
          <w:sz w:val="20"/>
        </w:rPr>
        <w:t xml:space="preserve">78. </w:t>
      </w:r>
      <w:r>
        <w:rPr>
          <w:b/>
          <w:sz w:val="20"/>
        </w:rPr>
        <w:t>Documented convention enrollment; Inferred identity comparison:</w:t>
      </w:r>
      <w:r>
        <w:rPr>
          <w:sz w:val="20"/>
        </w:rPr>
        <w:t xml:space="preserve"> National Baptist Convention, U.S.A., Inc., </w:t>
      </w:r>
      <w:r>
        <w:rPr>
          <w:i/>
          <w:sz w:val="20"/>
        </w:rPr>
        <w:t>Proceedings of the Sixtieth Annual Session</w:t>
      </w:r>
      <w:r>
        <w:rPr>
          <w:sz w:val="20"/>
        </w:rPr>
        <w:t>, Birmingham, September 4–9, 1940 (</w:t>
      </w:r>
      <w:r>
        <w:rPr>
          <w:sz w:val="20"/>
        </w:rPr>
        <w:t>[1940]</w:t>
      </w:r>
      <w:r>
        <w:rPr>
          <w:sz w:val="20"/>
        </w:rPr>
        <w:t xml:space="preserve">), pp. 146, 167, PDF pages 74, 84. </w:t>
      </w:r>
      <w:hyperlink r:id="rId82">
        <w:r>
          <w:rPr>
            <w:color w:val="000000"/>
            <w:u w:val="single"/>
            <w:sz w:val="20"/>
          </w:rPr>
          <w:t>Original proceedings</w:t>
        </w:r>
      </w:hyperlink>
      <w:r>
        <w:rPr>
          <w:sz w:val="20"/>
        </w:rPr>
        <w:t>. Digital Resources Collection, Southern Baptist Historical Library and Archives, Nashville, Tennessee. Original title, enrollment heading and Olivet entry visually checked September 22, 2026. Original reads Olivet, E. H. Dial, Route 35; differing search snippets are not retained as transcriptions. Publisher not established from inspected title.</w:t>
      </w:r>
    </w:p>
    <w:p>
      <w:pPr>
        <w:spacing w:line="264" w:lineRule="auto" w:after="100"/>
        <w:ind w:left="360" w:hanging="360"/>
      </w:pPr>
      <w:r>
        <w:rPr>
          <w:sz w:val="20"/>
        </w:rPr>
        <w:t xml:space="preserve">79. </w:t>
      </w:r>
      <w:r>
        <w:rPr>
          <w:b/>
          <w:sz w:val="20"/>
        </w:rPr>
        <w:t>Documented pastor listings and addresses; Reported church beginnings:</w:t>
      </w:r>
      <w:r>
        <w:rPr>
          <w:sz w:val="20"/>
        </w:rPr>
        <w:t xml:space="preserve"> Tennessee Historical Records Survey Project, </w:t>
      </w:r>
      <w:r>
        <w:rPr>
          <w:i/>
          <w:sz w:val="20"/>
        </w:rPr>
        <w:t>Directory of Churches</w:t>
      </w:r>
      <w:r>
        <w:rPr>
          <w:sz w:val="20"/>
        </w:rPr>
        <w:t xml:space="preserve">, No. 33 (December 1940), </w:t>
      </w:r>
      <w:hyperlink r:id="rId83">
        <w:r>
          <w:rPr>
            <w:color w:val="000000"/>
            <w:u w:val="single"/>
            <w:sz w:val="20"/>
          </w:rPr>
          <w:t>Mount Calvary, p. 10 / scan 35</w:t>
        </w:r>
      </w:hyperlink>
      <w:r>
        <w:rPr>
          <w:sz w:val="20"/>
        </w:rPr>
        <w:t xml:space="preserve">, and </w:t>
      </w:r>
      <w:hyperlink r:id="rId72">
        <w:r>
          <w:rPr>
            <w:color w:val="000000"/>
            <w:u w:val="single"/>
            <w:sz w:val="20"/>
          </w:rPr>
          <w:t>Olivet, p. 11 / scan 37</w:t>
        </w:r>
      </w:hyperlink>
      <w:r>
        <w:rPr>
          <w:sz w:val="20"/>
        </w:rPr>
        <w:t>. Originals visually checked September 22, 2026. Olivet lists Rev. Edward H. Dial; Mount Calvary lists Rev. Norman J. Johnson. The directory is distinct from the 1942 guide and does not establish the custody of its reported minute volumes, continuous pastoral tenure, or the identity of the 1926 Mt. Calvary congregation.</w:t>
      </w:r>
    </w:p>
    <w:p>
      <w:pPr>
        <w:spacing w:line="264" w:lineRule="auto" w:after="100"/>
        <w:ind w:left="360" w:hanging="360"/>
      </w:pPr>
      <w:r>
        <w:rPr>
          <w:sz w:val="20"/>
        </w:rPr>
        <w:t xml:space="preserve">80. </w:t>
      </w:r>
      <w:r>
        <w:rPr>
          <w:b/>
          <w:sz w:val="20"/>
        </w:rPr>
        <w:t>Reported historical custody:</w:t>
      </w:r>
      <w:r>
        <w:rPr>
          <w:sz w:val="20"/>
        </w:rPr>
        <w:t xml:space="preserve"> Tennessee War Services Project, </w:t>
      </w:r>
      <w:r>
        <w:rPr>
          <w:i/>
          <w:sz w:val="20"/>
        </w:rPr>
        <w:t>Guide to Church Vital Statistics in Tennessee</w:t>
      </w:r>
      <w:r>
        <w:rPr>
          <w:sz w:val="20"/>
        </w:rPr>
        <w:t xml:space="preserve"> (Nashville: War Services Section, 1942), Hamilton County, “Downtown Section,” Olivet entry, as transcribed by Tim Stowell in </w:t>
      </w:r>
      <w:hyperlink r:id="rId84">
        <w:r>
          <w:rPr>
            <w:color w:val="000000"/>
            <w:u w:val="single"/>
            <w:sz w:val="20"/>
          </w:rPr>
          <w:t>Church Vital Statistics</w:t>
        </w:r>
      </w:hyperlink>
      <w:r>
        <w:rPr>
          <w:sz w:val="20"/>
        </w:rPr>
        <w:t>, last updated August 17, 2009, accessed September 22, 2026. Underlying guide entry not yet inspected. The transcription gives a 1921 church beginning and three volumes of minutes from 1932. It identifies historical custody, not survival or present possession. Neither this church nor the guide's separately listed Mount Calvary is proved identical to a congregation associated with the cemetery in 1915.</w:t>
      </w:r>
    </w:p>
    <w:p>
      <w:pPr>
        <w:spacing w:line="264" w:lineRule="auto" w:after="100"/>
        <w:ind w:left="360" w:hanging="360"/>
      </w:pPr>
      <w:r>
        <w:rPr>
          <w:sz w:val="20"/>
        </w:rPr>
        <w:t xml:space="preserve">81. </w:t>
      </w:r>
      <w:r>
        <w:rPr>
          <w:b/>
          <w:sz w:val="20"/>
        </w:rPr>
        <w:t>Documented directory distinction:</w:t>
      </w:r>
      <w:r>
        <w:rPr>
          <w:sz w:val="20"/>
        </w:rPr>
        <w:t xml:space="preserve"> Covenant College, Office of Student Development, </w:t>
      </w:r>
      <w:r>
        <w:rPr>
          <w:i/>
          <w:sz w:val="20"/>
        </w:rPr>
        <w:t>The Student Handbook 2001–2002</w:t>
      </w:r>
      <w:r>
        <w:rPr>
          <w:sz w:val="20"/>
        </w:rPr>
        <w:t xml:space="preserve">, p. 103; title verified on p. 1. </w:t>
      </w:r>
      <w:hyperlink r:id="rId85">
        <w:r>
          <w:rPr>
            <w:color w:val="000000"/>
            <w:u w:val="single"/>
            <w:sz w:val="20"/>
          </w:rPr>
          <w:t>Original college PDF</w:t>
        </w:r>
      </w:hyperlink>
      <w:r>
        <w:rPr>
          <w:sz w:val="20"/>
        </w:rPr>
        <w:t>, downloaded and both pages visually inspected September 21, 2026. Does not establish either church's nineteenth-century identity or the reason for 203/205 numbering.</w:t>
      </w:r>
    </w:p>
    <w:p>
      <w:pPr>
        <w:spacing w:line="264" w:lineRule="auto" w:after="100"/>
        <w:ind w:left="360" w:hanging="360"/>
      </w:pPr>
      <w:r>
        <w:rPr>
          <w:sz w:val="20"/>
        </w:rPr>
        <w:t xml:space="preserve">82. </w:t>
      </w:r>
      <w:r>
        <w:rPr>
          <w:b/>
          <w:sz w:val="20"/>
        </w:rPr>
        <w:t>Documented directory entries:</w:t>
      </w:r>
      <w:r>
        <w:rPr>
          <w:sz w:val="20"/>
        </w:rPr>
        <w:t xml:space="preserve"> G. M. Connelly, publisher, </w:t>
      </w:r>
      <w:r>
        <w:rPr>
          <w:i/>
          <w:sz w:val="20"/>
        </w:rPr>
        <w:t>City Directory of Chattanooga, Tennessee</w:t>
      </w:r>
      <w:r>
        <w:rPr>
          <w:sz w:val="20"/>
        </w:rPr>
        <w:t xml:space="preserve">, vol. 17 (Chattanooga, 1896), pp. 15–16 and 18–19. </w:t>
      </w:r>
      <w:hyperlink r:id="rId86">
        <w:r>
          <w:rPr>
            <w:color w:val="000000"/>
            <w:u w:val="single"/>
            <w:sz w:val="20"/>
          </w:rPr>
          <w:t>New Salem, p. 16, scan 20</w:t>
        </w:r>
      </w:hyperlink>
      <w:r>
        <w:rPr>
          <w:sz w:val="20"/>
        </w:rPr>
        <w:t xml:space="preserve">; </w:t>
      </w:r>
      <w:hyperlink r:id="rId87">
        <w:r>
          <w:rPr>
            <w:color w:val="000000"/>
            <w:u w:val="single"/>
            <w:sz w:val="20"/>
          </w:rPr>
          <w:t>Presbyterian heading and St. Elmo entry, p. 18, scan 22</w:t>
        </w:r>
      </w:hyperlink>
      <w:r>
        <w:rPr>
          <w:sz w:val="20"/>
        </w:rPr>
        <w:t xml:space="preserve">; </w:t>
      </w:r>
      <w:hyperlink r:id="rId88">
        <w:r>
          <w:rPr>
            <w:color w:val="000000"/>
            <w:u w:val="single"/>
            <w:sz w:val="20"/>
          </w:rPr>
          <w:t>Lookout Mountain entry, p. 19, scan 23</w:t>
        </w:r>
      </w:hyperlink>
      <w:r>
        <w:rPr>
          <w:sz w:val="20"/>
        </w:rPr>
        <w:t>. HathiTrust, Harvard University original, catalog record 102665973. Original page images and heading continuations visually checked September 22, 2026. No institutional succession, cemetery ownership or burial membership is established by these entries.</w:t>
      </w:r>
    </w:p>
    <w:p>
      <w:pPr>
        <w:spacing w:line="264" w:lineRule="auto" w:after="100"/>
        <w:ind w:left="360" w:hanging="360"/>
      </w:pPr>
      <w:r>
        <w:rPr>
          <w:sz w:val="20"/>
        </w:rPr>
        <w:t xml:space="preserve">83. </w:t>
      </w:r>
      <w:r>
        <w:rPr>
          <w:b/>
          <w:sz w:val="20"/>
        </w:rPr>
        <w:t>Documented directory entries and internal address/name discrepancies:</w:t>
      </w:r>
      <w:r>
        <w:rPr>
          <w:sz w:val="20"/>
        </w:rPr>
        <w:t xml:space="preserve"> G. M. Connelly, publisher, </w:t>
      </w:r>
      <w:r>
        <w:rPr>
          <w:i/>
          <w:sz w:val="20"/>
        </w:rPr>
        <w:t>City Directory of Chattanooga and Suburbs</w:t>
      </w:r>
      <w:r>
        <w:rPr>
          <w:sz w:val="20"/>
        </w:rPr>
        <w:t xml:space="preserve">, vol. 28 (1908), pp. 11–13, 125, 497 and 833. HathiTrust hvd.hn4hhd, Harvard University original. </w:t>
      </w:r>
      <w:hyperlink r:id="rId89">
        <w:r>
          <w:rPr>
            <w:color w:val="000000"/>
            <w:u w:val="single"/>
            <w:sz w:val="20"/>
          </w:rPr>
          <w:t>New Salem, p. 12 / scan 16</w:t>
        </w:r>
      </w:hyperlink>
      <w:r>
        <w:rPr>
          <w:sz w:val="20"/>
        </w:rPr>
        <w:t xml:space="preserve">; </w:t>
      </w:r>
      <w:hyperlink r:id="rId90">
        <w:r>
          <w:rPr>
            <w:color w:val="000000"/>
            <w:u w:val="single"/>
            <w:sz w:val="20"/>
          </w:rPr>
          <w:t>Presbyterian entry, p. 13 / scan 17</w:t>
        </w:r>
      </w:hyperlink>
      <w:r>
        <w:rPr>
          <w:sz w:val="20"/>
        </w:rPr>
        <w:t xml:space="preserve">; </w:t>
      </w:r>
      <w:hyperlink r:id="rId91">
        <w:r>
          <w:rPr>
            <w:color w:val="000000"/>
            <w:u w:val="single"/>
            <w:sz w:val="20"/>
          </w:rPr>
          <w:t>Broaden, p. 125 / scan 135</w:t>
        </w:r>
      </w:hyperlink>
      <w:r>
        <w:rPr>
          <w:sz w:val="20"/>
        </w:rPr>
        <w:t xml:space="preserve">; </w:t>
      </w:r>
      <w:hyperlink r:id="rId92">
        <w:r>
          <w:rPr>
            <w:color w:val="000000"/>
            <w:u w:val="single"/>
            <w:sz w:val="20"/>
          </w:rPr>
          <w:t>alphabetical entry, p. 497 / scan 543</w:t>
        </w:r>
      </w:hyperlink>
      <w:r>
        <w:rPr>
          <w:sz w:val="20"/>
        </w:rPr>
        <w:t xml:space="preserve">; </w:t>
      </w:r>
      <w:hyperlink r:id="rId93">
        <w:r>
          <w:rPr>
            <w:color w:val="000000"/>
            <w:u w:val="single"/>
            <w:sz w:val="20"/>
          </w:rPr>
          <w:t>Chestnut Street, p. 833 / scan 905</w:t>
        </w:r>
      </w:hyperlink>
      <w:r>
        <w:rPr>
          <w:sz w:val="20"/>
        </w:rPr>
        <w:t>. Original images and headings visually checked September 22, 2026. Retain both 315 and 317, and Broughton/P. D. versus Broaden/Pleasant B; no building move, personal identity, street renumbering, Salem-deed match or cemetery association is proved.</w:t>
      </w:r>
    </w:p>
    <w:p>
      <w:pPr>
        <w:spacing w:line="264" w:lineRule="auto" w:after="100"/>
        <w:ind w:left="360" w:hanging="360"/>
      </w:pPr>
      <w:r>
        <w:rPr>
          <w:sz w:val="20"/>
        </w:rPr>
        <w:t xml:space="preserve">84. </w:t>
      </w:r>
      <w:r>
        <w:rPr>
          <w:b/>
          <w:sz w:val="20"/>
        </w:rPr>
        <w:t>Documented entry; Reported organization date:</w:t>
      </w:r>
      <w:r>
        <w:rPr>
          <w:sz w:val="20"/>
        </w:rPr>
        <w:t xml:space="preserve"> Tennessee Historical Records Survey Project, </w:t>
      </w:r>
      <w:r>
        <w:rPr>
          <w:i/>
          <w:sz w:val="20"/>
        </w:rPr>
        <w:t>Directory of Churches</w:t>
      </w:r>
      <w:r>
        <w:rPr>
          <w:sz w:val="20"/>
        </w:rPr>
        <w:t xml:space="preserve">, No. 33 (December 1940), </w:t>
      </w:r>
      <w:hyperlink r:id="rId94">
        <w:r>
          <w:rPr>
            <w:color w:val="000000"/>
            <w:u w:val="single"/>
            <w:sz w:val="20"/>
          </w:rPr>
          <w:t>New Salem, p. 6 / scan 27</w:t>
        </w:r>
      </w:hyperlink>
      <w:r>
        <w:rPr>
          <w:sz w:val="20"/>
        </w:rPr>
        <w:t>. Original relevant entry and Ocoee Baptist Association heading visually checked September 22, 2026. The entry gives Soddy, 1933 and Rev. Frank Jenkins of Lupton City. No connection to the unresolved Salem deed, the Chestnut Street congregation, or the Clift Station cemetery is established.</w:t>
      </w:r>
    </w:p>
    <w:p>
      <w:pPr>
        <w:spacing w:line="264" w:lineRule="auto" w:after="100"/>
        <w:ind w:left="360" w:hanging="360"/>
      </w:pPr>
      <w:r>
        <w:rPr>
          <w:sz w:val="20"/>
        </w:rPr>
        <w:t xml:space="preserve">85. </w:t>
      </w:r>
      <w:r>
        <w:rPr>
          <w:b/>
          <w:sz w:val="20"/>
        </w:rPr>
        <w:t>Reported institutional history:</w:t>
      </w:r>
      <w:r>
        <w:rPr>
          <w:sz w:val="20"/>
        </w:rPr>
        <w:t xml:space="preserve"> Union Grove Missionary Baptist Church, “About Us,” undated, section on Rev. W. D. Clark, </w:t>
      </w:r>
      <w:hyperlink r:id="rId95">
        <w:r>
          <w:rPr>
            <w:color w:val="000000"/>
            <w:u w:val="single"/>
            <w:sz w:val="20"/>
          </w:rPr>
          <w:t>church history</w:t>
        </w:r>
      </w:hyperlink>
      <w:r>
        <w:rPr>
          <w:sz w:val="20"/>
        </w:rPr>
        <w:t>, accessed September 21, 2026. This is a history published by the congregation, not an inspected 1972 appointment record or proof of transferred archives.</w:t>
      </w:r>
    </w:p>
    <w:p>
      <w:pPr>
        <w:spacing w:line="264" w:lineRule="auto" w:after="100"/>
        <w:ind w:left="360" w:hanging="360"/>
      </w:pPr>
      <w:r>
        <w:rPr>
          <w:sz w:val="20"/>
        </w:rPr>
        <w:t xml:space="preserve">86. </w:t>
      </w:r>
      <w:r>
        <w:rPr>
          <w:b/>
          <w:sz w:val="20"/>
        </w:rPr>
        <w:t>Documented deed:</w:t>
      </w:r>
      <w:r>
        <w:rPr>
          <w:sz w:val="20"/>
        </w:rPr>
        <w:t xml:space="preserve"> Hamilton County Register of Deeds, GI 276, pp. 228–229, executed September 5, 1912, filed October 14, 1912; original local bryanttoMEZionchurchdeed.pdf, visually reviewed September 17 and 20, 2026. The west 43 feet of lots 1–3, block 4, Lookout Mountain Company's Addition No. 2. No verified public image URL; full citation and transcription limits are in the project deed review. Cemetery ownership, trustee burials and a Salem identity are unproved.</w:t>
      </w:r>
    </w:p>
    <w:p>
      <w:pPr>
        <w:spacing w:line="264" w:lineRule="auto" w:after="100"/>
        <w:ind w:left="360" w:hanging="360"/>
      </w:pPr>
      <w:r>
        <w:rPr>
          <w:sz w:val="20"/>
        </w:rPr>
        <w:t xml:space="preserve">87. </w:t>
      </w:r>
      <w:r>
        <w:rPr>
          <w:b/>
          <w:sz w:val="20"/>
        </w:rPr>
        <w:t>Documented deed:</w:t>
      </w:r>
      <w:r>
        <w:rPr>
          <w:sz w:val="20"/>
        </w:rPr>
        <w:t xml:space="preserve"> Hamilton County Register of Deeds, John and S. Anna Troutt to A. E. and Georgia Ann Love, October 12, 1906, filed November 5, 1906, GI 201 (S8), pp. 398–399. Original user-held TIFViewer (13).tiff.pdf, both pages visually checked September 22, 2026; unchanged copy preserved in the project. The Blount–Troutt parent deed is dated September 8, 1905, but its book/page fields are blank in this instrument. No verified public direct-image URL.</w:t>
      </w:r>
    </w:p>
    <w:p>
      <w:pPr>
        <w:spacing w:line="264" w:lineRule="auto" w:after="100"/>
        <w:ind w:left="360" w:hanging="360"/>
      </w:pPr>
      <w:r>
        <w:rPr>
          <w:sz w:val="20"/>
        </w:rPr>
        <w:t xml:space="preserve">88. </w:t>
      </w:r>
      <w:r>
        <w:rPr>
          <w:b/>
          <w:sz w:val="20"/>
        </w:rPr>
        <w:t>Documented deed:</w:t>
      </w:r>
      <w:r>
        <w:rPr>
          <w:sz w:val="20"/>
        </w:rPr>
        <w:t xml:space="preserve"> Hamilton County Register of Deeds, Daniel Alewine to A. E. and Georgia Love, March 31, 1910, filed April 4, 1910, GI 241 (G10), p. 206. Original user-held TIFViewer (17).tiff.pdf, visually checked September 22, 2026; unchanged copy preserved in the project. It names Lot 33, Block P, map or survey No. 1; it does not identify a residence or cemetery. No verified public direct-image URL.</w:t>
      </w:r>
    </w:p>
    <w:p>
      <w:pPr>
        <w:spacing w:line="264" w:lineRule="auto" w:after="100"/>
        <w:ind w:left="360" w:hanging="360"/>
      </w:pPr>
      <w:r>
        <w:rPr>
          <w:sz w:val="20"/>
        </w:rPr>
        <w:t xml:space="preserve">89. </w:t>
      </w:r>
      <w:r>
        <w:rPr>
          <w:b/>
          <w:sz w:val="20"/>
        </w:rPr>
        <w:t>Documented map comparison:</w:t>
      </w:r>
      <w:r>
        <w:rPr>
          <w:sz w:val="20"/>
        </w:rPr>
        <w:t xml:space="preserve"> Hamilton County Register of Deeds, Lookout Mountain Company, </w:t>
      </w:r>
      <w:r>
        <w:rPr>
          <w:i/>
          <w:sz w:val="20"/>
        </w:rPr>
        <w:t>Lookout Mountain No. 1</w:t>
      </w:r>
      <w:r>
        <w:rPr>
          <w:sz w:val="20"/>
        </w:rPr>
        <w:t xml:space="preserve">, June 1887, J. A. Gillespie, surveyor, Plat Book 2, p. 42; Company and Thompson, Hall &amp; Winn, </w:t>
      </w:r>
      <w:r>
        <w:rPr>
          <w:i/>
          <w:sz w:val="20"/>
        </w:rPr>
        <w:t>Subdivision No. 2</w:t>
      </w:r>
      <w:r>
        <w:rPr>
          <w:sz w:val="20"/>
        </w:rPr>
        <w:t>, adopted/filed August 12, 1890, Plat Book 3, p. 32. Original user-held scans; full earlier map and native-resolution Block P detail checked September 22, 2026, together with the later dedication. Block P lots 1, 2, 3 and 9 are listed for resubdivision, not lot 33. The manuscript describes relationships on the historical sheet; no modern parcel boundary or residence is inferred. No verified public direct-image URLs.</w:t>
      </w:r>
    </w:p>
    <w:p>
      <w:pPr>
        <w:spacing w:line="264" w:lineRule="auto" w:after="100"/>
        <w:ind w:left="360" w:hanging="360"/>
      </w:pPr>
      <w:r>
        <w:rPr>
          <w:sz w:val="20"/>
        </w:rPr>
        <w:t xml:space="preserve">90. </w:t>
      </w:r>
      <w:r>
        <w:rPr>
          <w:b/>
          <w:sz w:val="20"/>
        </w:rPr>
        <w:t>Documented testimony:</w:t>
      </w:r>
      <w:r>
        <w:rPr>
          <w:sz w:val="20"/>
        </w:rPr>
        <w:t xml:space="preserve"> Hamilton County Chancery Court, </w:t>
      </w:r>
      <w:r>
        <w:rPr>
          <w:i/>
          <w:sz w:val="20"/>
        </w:rPr>
        <w:t>Isaac Moore Sr. et al. v. H. Clay Evans et al.</w:t>
      </w:r>
      <w:r>
        <w:rPr>
          <w:sz w:val="20"/>
        </w:rPr>
        <w:t xml:space="preserve">, No. 15249, Moore Sr. cross-examination p. 4, question 13, </w:t>
      </w:r>
      <w:hyperlink r:id="rId19">
        <w:r>
          <w:rPr>
            <w:color w:val="000000"/>
            <w:u w:val="single"/>
            <w:sz w:val="20"/>
          </w:rPr>
          <w:t>IMG_0556</w:t>
        </w:r>
      </w:hyperlink>
      <w:r>
        <w:rPr>
          <w:sz w:val="20"/>
        </w:rPr>
        <w:t>. His answer describes management at the time of testimony; it does not settle every earlier institutional association.</w:t>
      </w:r>
    </w:p>
    <w:p>
      <w:pPr>
        <w:spacing w:line="264" w:lineRule="auto" w:after="100"/>
        <w:ind w:left="360" w:hanging="360"/>
      </w:pPr>
      <w:r>
        <w:rPr>
          <w:sz w:val="20"/>
        </w:rPr>
        <w:t xml:space="preserve">91. </w:t>
      </w:r>
      <w:r>
        <w:rPr>
          <w:b/>
          <w:sz w:val="20"/>
        </w:rPr>
        <w:t>Documented field observations; Reported community recollection:</w:t>
      </w:r>
      <w:r>
        <w:rPr>
          <w:sz w:val="20"/>
        </w:rPr>
        <w:t xml:space="preserve"> Natalie Robbins and James Zimmer-Dauphinee, Vanderbilt Spatial Analysis Research Laboratory, </w:t>
      </w:r>
      <w:r>
        <w:rPr>
          <w:i/>
          <w:sz w:val="20"/>
        </w:rPr>
        <w:t>Report of Findings: Lookout Mountain Cemetery Geophysical Survey</w:t>
      </w:r>
      <w:r>
        <w:rPr>
          <w:sz w:val="20"/>
        </w:rPr>
        <w:t xml:space="preserve">, September 30, 2021, fieldwork August 9–10, 2021, p. 4 and Figure 4, p. 8. </w:t>
      </w:r>
      <w:hyperlink r:id="rId96">
        <w:r>
          <w:rPr>
            <w:color w:val="000000"/>
            <w:u w:val="single"/>
            <w:sz w:val="20"/>
          </w:rPr>
          <w:t>Original report</w:t>
        </w:r>
      </w:hyperlink>
      <w:r>
        <w:rPr>
          <w:sz w:val="20"/>
        </w:rPr>
        <w:t>. The reestablishment of Lockwood's stone is attributed to unnamed community members; it does not establish removal of his remains. Flag numbers are not an independently verified burial count.</w:t>
      </w:r>
    </w:p>
    <w:p>
      <w:pPr>
        <w:spacing w:line="264" w:lineRule="auto" w:after="100"/>
        <w:ind w:left="360" w:hanging="360"/>
      </w:pPr>
      <w:r>
        <w:rPr>
          <w:sz w:val="20"/>
        </w:rPr>
        <w:t xml:space="preserve">92. </w:t>
      </w:r>
      <w:r>
        <w:rPr>
          <w:b/>
          <w:sz w:val="20"/>
        </w:rPr>
        <w:t>Reported historical estimate:</w:t>
      </w:r>
      <w:r>
        <w:rPr>
          <w:sz w:val="20"/>
        </w:rPr>
        <w:t xml:space="preserve"> Historical Records Survey, </w:t>
      </w:r>
      <w:r>
        <w:rPr>
          <w:i/>
          <w:sz w:val="20"/>
        </w:rPr>
        <w:t>Hamilton County Tombstone Inscriptions, Lookout Mountain Cemetery (Negroes)</w:t>
      </w:r>
      <w:r>
        <w:rPr>
          <w:sz w:val="20"/>
        </w:rPr>
        <w:t xml:space="preserve">, p. 31-A, undated leaf attributed to 1939. </w:t>
      </w:r>
      <w:hyperlink r:id="rId69">
        <w:r>
          <w:rPr>
            <w:color w:val="000000"/>
            <w:u w:val="single"/>
            <w:sz w:val="20"/>
          </w:rPr>
          <w:t>Original page</w:t>
        </w:r>
      </w:hyperlink>
      <w:r>
        <w:rPr>
          <w:sz w:val="20"/>
        </w:rPr>
        <w:t>. The leaf estimates approximately two hundred graves; it does not enumerate them. Its conflicting Moore dates are retained in the preceding section.</w:t>
      </w:r>
    </w:p>
    <w:p>
      <w:pPr>
        <w:spacing w:line="264" w:lineRule="auto" w:after="100"/>
        <w:ind w:left="360" w:hanging="360"/>
      </w:pPr>
      <w:r>
        <w:rPr>
          <w:sz w:val="20"/>
        </w:rPr>
        <w:t xml:space="preserve">93. </w:t>
      </w:r>
      <w:r>
        <w:rPr>
          <w:b/>
          <w:sz w:val="20"/>
        </w:rPr>
        <w:t>Documented citation relationship; Inferred assessment of the discrepancy:</w:t>
      </w:r>
      <w:r>
        <w:rPr>
          <w:sz w:val="20"/>
        </w:rPr>
        <w:t xml:space="preserve"> Robbins and Zimmer-Dauphinee, </w:t>
      </w:r>
      <w:r>
        <w:rPr>
          <w:i/>
          <w:sz w:val="20"/>
        </w:rPr>
        <w:t>Lookout Mountain Cemetery Geophysical Survey</w:t>
      </w:r>
      <w:r>
        <w:rPr>
          <w:sz w:val="20"/>
        </w:rPr>
        <w:t xml:space="preserve">, September 30, 2021, pp. 1 and 21, </w:t>
      </w:r>
      <w:hyperlink r:id="rId96">
        <w:r>
          <w:rPr>
            <w:color w:val="000000"/>
            <w:u w:val="single"/>
            <w:sz w:val="20"/>
          </w:rPr>
          <w:t>report</w:t>
        </w:r>
      </w:hyperlink>
      <w:r>
        <w:rPr>
          <w:sz w:val="20"/>
        </w:rPr>
        <w:t xml:space="preserve">; compared with Historical Records Survey, </w:t>
      </w:r>
      <w:r>
        <w:rPr>
          <w:i/>
          <w:sz w:val="20"/>
        </w:rPr>
        <w:t>Lookout Mountain Cemetery (Negroes)</w:t>
      </w:r>
      <w:r>
        <w:rPr>
          <w:sz w:val="20"/>
        </w:rPr>
        <w:t xml:space="preserve">, leaf 31-A, undated leaf attributed to 1939, </w:t>
      </w:r>
      <w:hyperlink r:id="rId69">
        <w:r>
          <w:rPr>
            <w:color w:val="000000"/>
            <w:u w:val="single"/>
            <w:sz w:val="20"/>
          </w:rPr>
          <w:t>original image</w:t>
        </w:r>
      </w:hyperlink>
      <w:r>
        <w:rPr>
          <w:sz w:val="20"/>
        </w:rPr>
        <w:t>. The report cites this leaf for 1854–1914; its bibliography supplies no separate historical source for that range. The comparison does not establish why the authors selected those dates or whether they consulted uncited material. The alternative WPA calculations are explained in Three names on a survey.</w:t>
      </w:r>
    </w:p>
    <w:p>
      <w:pPr>
        <w:spacing w:line="264" w:lineRule="auto" w:after="100"/>
        <w:ind w:left="360" w:hanging="360"/>
      </w:pPr>
      <w:r>
        <w:rPr>
          <w:sz w:val="20"/>
        </w:rPr>
        <w:t xml:space="preserve">94. </w:t>
      </w:r>
      <w:r>
        <w:rPr>
          <w:b/>
          <w:sz w:val="20"/>
        </w:rPr>
        <w:t>Documented testimony:</w:t>
      </w:r>
      <w:r>
        <w:rPr>
          <w:sz w:val="20"/>
        </w:rPr>
        <w:t xml:space="preserve"> Hamilton County Chancery Court, </w:t>
      </w:r>
      <w:r>
        <w:rPr>
          <w:i/>
          <w:sz w:val="20"/>
        </w:rPr>
        <w:t>Isaac Moore Sr. et al. v. H. Clay Evans et al.</w:t>
      </w:r>
      <w:r>
        <w:rPr>
          <w:sz w:val="20"/>
        </w:rPr>
        <w:t xml:space="preserve">, No. 15249, 1915–1916 case papers: Moore Sr., testimony p. 1, </w:t>
      </w:r>
      <w:hyperlink r:id="rId16">
        <w:r>
          <w:rPr>
            <w:color w:val="000000"/>
            <w:u w:val="single"/>
            <w:sz w:val="20"/>
          </w:rPr>
          <w:t>IMG_0553</w:t>
        </w:r>
      </w:hyperlink>
      <w:r>
        <w:rPr>
          <w:sz w:val="20"/>
        </w:rPr>
        <w:t xml:space="preserve">; Rev. E. H. Dial, testimony p. 9, </w:t>
      </w:r>
      <w:hyperlink r:id="rId22">
        <w:r>
          <w:rPr>
            <w:color w:val="000000"/>
            <w:u w:val="single"/>
            <w:sz w:val="20"/>
          </w:rPr>
          <w:t>IMG_0563</w:t>
        </w:r>
      </w:hyperlink>
      <w:r>
        <w:rPr>
          <w:sz w:val="20"/>
        </w:rPr>
        <w:t>. Moore identifies his daughter's death as July 27, 1915, and says the burial followed the injunction; Dial's twenty-six years refers to residence. Neither testimony fixes the cemetery's founding year.</w:t>
      </w:r>
    </w:p>
    <w:p>
      <w:pPr>
        <w:spacing w:line="264" w:lineRule="auto" w:after="100"/>
        <w:ind w:left="360" w:hanging="360"/>
      </w:pPr>
      <w:r>
        <w:rPr>
          <w:sz w:val="20"/>
        </w:rPr>
        <w:t xml:space="preserve">95. </w:t>
      </w:r>
      <w:r>
        <w:rPr>
          <w:b/>
          <w:sz w:val="20"/>
        </w:rPr>
        <w:t>Documented survey purpose and methods:</w:t>
      </w:r>
      <w:r>
        <w:rPr>
          <w:sz w:val="20"/>
        </w:rPr>
        <w:t xml:space="preserve"> Robbins and Zimmer-Dauphinee, </w:t>
      </w:r>
      <w:r>
        <w:rPr>
          <w:i/>
          <w:sz w:val="20"/>
        </w:rPr>
        <w:t>Lookout Mountain Cemetery Geophysical Survey</w:t>
      </w:r>
      <w:r>
        <w:rPr>
          <w:sz w:val="20"/>
        </w:rPr>
        <w:t xml:space="preserve">, pp. 1–3, including Map 1. </w:t>
      </w:r>
      <w:hyperlink r:id="rId96">
        <w:r>
          <w:rPr>
            <w:color w:val="000000"/>
            <w:u w:val="single"/>
            <w:sz w:val="20"/>
          </w:rPr>
          <w:t>Report</w:t>
        </w:r>
      </w:hyperlink>
      <w:r>
        <w:rPr>
          <w:sz w:val="20"/>
        </w:rPr>
        <w:t>. The report describes the parcel as town-owned in 2021; that statement is not a current title search. Grid-corner coordinates locate survey areas, not individual graves. The planned extent shown on Map 1 must be read with the express exclusion of data collection on or beyond Scenic Highway.</w:t>
      </w:r>
    </w:p>
    <w:p>
      <w:pPr>
        <w:spacing w:line="264" w:lineRule="auto" w:after="100"/>
        <w:ind w:left="360" w:hanging="360"/>
      </w:pPr>
      <w:r>
        <w:rPr>
          <w:sz w:val="20"/>
        </w:rPr>
        <w:t xml:space="preserve">96. </w:t>
      </w:r>
      <w:r>
        <w:rPr>
          <w:b/>
          <w:sz w:val="20"/>
        </w:rPr>
        <w:t>Inferred interpretations by the survey authors:</w:t>
      </w:r>
      <w:r>
        <w:rPr>
          <w:sz w:val="20"/>
        </w:rPr>
        <w:t xml:space="preserve"> same report, Figure 11, p. 15, and interpretations, p. 16. </w:t>
      </w:r>
      <w:hyperlink r:id="rId96">
        <w:r>
          <w:rPr>
            <w:color w:val="000000"/>
            <w:u w:val="single"/>
            <w:sz w:val="20"/>
          </w:rPr>
          <w:t>Report</w:t>
        </w:r>
      </w:hyperlink>
      <w:r>
        <w:rPr>
          <w:sz w:val="20"/>
        </w:rPr>
        <w:t>. Possible stacked burials, lost topsoil and responses from surface depressions are hypotheses, not excavated findings or proof of a removal event.</w:t>
      </w:r>
    </w:p>
    <w:p>
      <w:pPr>
        <w:spacing w:line="264" w:lineRule="auto" w:after="100"/>
        <w:ind w:left="360" w:hanging="360"/>
      </w:pPr>
      <w:r>
        <w:rPr>
          <w:sz w:val="20"/>
        </w:rPr>
        <w:t xml:space="preserve">97. </w:t>
      </w:r>
      <w:r>
        <w:rPr>
          <w:b/>
          <w:sz w:val="20"/>
        </w:rPr>
        <w:t>Documented recommendations and stated limits:</w:t>
      </w:r>
      <w:r>
        <w:rPr>
          <w:sz w:val="20"/>
        </w:rPr>
        <w:t xml:space="preserve"> same report, pp. 19–20, Map 2, labeled “Estimated Conservation Boundary.” </w:t>
      </w:r>
      <w:hyperlink r:id="rId96">
        <w:r>
          <w:rPr>
            <w:color w:val="000000"/>
            <w:u w:val="single"/>
            <w:sz w:val="20"/>
          </w:rPr>
          <w:t>Report</w:t>
        </w:r>
      </w:hyperlink>
      <w:r>
        <w:rPr>
          <w:sz w:val="20"/>
        </w:rPr>
        <w:t>. This is a proposed conservation outline, not a survey of legal title or clearance for postholes. Recommendations are not evidence that a wall, fence or sign was subsequently installed.</w:t>
      </w:r>
    </w:p>
    <w:p>
      <w:pPr>
        <w:spacing w:line="264" w:lineRule="auto" w:after="100"/>
        <w:ind w:left="360" w:hanging="360"/>
      </w:pPr>
      <w:r>
        <w:rPr>
          <w:sz w:val="20"/>
        </w:rPr>
        <w:t xml:space="preserve">98. </w:t>
      </w:r>
      <w:r>
        <w:rPr>
          <w:b/>
          <w:sz w:val="20"/>
        </w:rPr>
        <w:t>Reported inscriptions and estimate; Documented name and location in the source:</w:t>
      </w:r>
      <w:r>
        <w:rPr>
          <w:sz w:val="20"/>
        </w:rPr>
        <w:t xml:space="preserve"> Historical Records Survey, </w:t>
      </w:r>
      <w:r>
        <w:rPr>
          <w:i/>
          <w:sz w:val="20"/>
        </w:rPr>
        <w:t>Hamilton County Tombstone Inscriptions, Lookout Mountain Cemetery (Negroes)</w:t>
      </w:r>
      <w:r>
        <w:rPr>
          <w:sz w:val="20"/>
        </w:rPr>
        <w:t xml:space="preserve">, leaf 31-A, undated leaf attributed to 1939, </w:t>
      </w:r>
      <w:hyperlink r:id="rId69">
        <w:r>
          <w:rPr>
            <w:color w:val="000000"/>
            <w:u w:val="single"/>
            <w:sz w:val="20"/>
          </w:rPr>
          <w:t>original image</w:t>
        </w:r>
      </w:hyperlink>
      <w:r>
        <w:rPr>
          <w:sz w:val="20"/>
        </w:rPr>
        <w:t>. The opening and closing reflections on a future marker are the author's interpretation and proposal, not a historical inscription or completed installation. The estimate is approximate; the three entries do not establish that only three markers existed.</w:t>
      </w:r>
    </w:p>
    <w:p>
      <w:pPr>
        <w:spacing w:line="264" w:lineRule="auto" w:after="100"/>
        <w:ind w:left="360" w:hanging="360"/>
      </w:pPr>
      <w:r>
        <w:rPr>
          <w:sz w:val="20"/>
        </w:rPr>
        <w:t xml:space="preserve">99. </w:t>
      </w:r>
      <w:r>
        <w:rPr>
          <w:b/>
          <w:sz w:val="20"/>
        </w:rPr>
        <w:t>Documented proceedings:</w:t>
      </w:r>
      <w:r>
        <w:rPr>
          <w:sz w:val="20"/>
        </w:rPr>
        <w:t xml:space="preserve"> Hamilton County Chancery Court, </w:t>
      </w:r>
      <w:r>
        <w:rPr>
          <w:i/>
          <w:sz w:val="20"/>
        </w:rPr>
        <w:t>Isaac Moore Sr. et al. v. H. Clay Evans et al.</w:t>
      </w:r>
      <w:r>
        <w:rPr>
          <w:sz w:val="20"/>
        </w:rPr>
        <w:t xml:space="preserve">, No. 15249, 1915–1916 case papers: writ of injunction, </w:t>
      </w:r>
      <w:hyperlink r:id="rId15">
        <w:r>
          <w:rPr>
            <w:color w:val="000000"/>
            <w:u w:val="single"/>
            <w:sz w:val="20"/>
          </w:rPr>
          <w:t>IMG_0591</w:t>
        </w:r>
      </w:hyperlink>
      <w:r>
        <w:rPr>
          <w:sz w:val="20"/>
        </w:rPr>
        <w:t xml:space="preserve">; Garvin's conditional fiat, July 28, 1915, </w:t>
      </w:r>
      <w:hyperlink r:id="rId13">
        <w:r>
          <w:rPr>
            <w:color w:val="000000"/>
            <w:u w:val="single"/>
            <w:sz w:val="20"/>
          </w:rPr>
          <w:t>IMG_0608</w:t>
        </w:r>
      </w:hyperlink>
      <w:r>
        <w:rPr>
          <w:sz w:val="20"/>
        </w:rPr>
        <w:t xml:space="preserve">; final decree, December 1916, </w:t>
      </w:r>
      <w:hyperlink r:id="rId59">
        <w:r>
          <w:rPr>
            <w:color w:val="000000"/>
            <w:u w:val="single"/>
            <w:sz w:val="20"/>
          </w:rPr>
          <w:t>IMG_0593</w:t>
        </w:r>
      </w:hyperlink>
      <w:r>
        <w:rPr>
          <w:sz w:val="20"/>
        </w:rPr>
        <w:t>. The claim and outcome are developed in the preceding court sections. No later removal is established by these documents alone.</w:t>
      </w:r>
    </w:p>
    <w:p>
      <w:pPr>
        <w:spacing w:line="264" w:lineRule="auto" w:after="100"/>
        <w:ind w:left="360" w:hanging="360"/>
      </w:pPr>
      <w:r>
        <w:rPr>
          <w:sz w:val="20"/>
        </w:rPr>
        <w:t xml:space="preserve">100. </w:t>
      </w:r>
      <w:r>
        <w:rPr>
          <w:b/>
          <w:sz w:val="20"/>
        </w:rPr>
        <w:t>Documented testimony:</w:t>
      </w:r>
      <w:r>
        <w:rPr>
          <w:sz w:val="20"/>
        </w:rPr>
        <w:t xml:space="preserve"> same case, Isaac Moore Sr., testimony p. 4, cross-examination question 13, </w:t>
      </w:r>
      <w:hyperlink r:id="rId19">
        <w:r>
          <w:rPr>
            <w:color w:val="000000"/>
            <w:u w:val="single"/>
            <w:sz w:val="20"/>
          </w:rPr>
          <w:t>IMG_0556</w:t>
        </w:r>
      </w:hyperlink>
      <w:r>
        <w:rPr>
          <w:sz w:val="20"/>
        </w:rPr>
        <w:t>. Quotation checked against the original photograph September 22, 2026, with punctuation regularized. Moore's answer describes management as he understood it; it does not exclude every earlier church association.</w:t>
      </w:r>
    </w:p>
    <w:p>
      <w:pPr>
        <w:spacing w:line="264" w:lineRule="auto" w:after="100"/>
        <w:ind w:left="360" w:hanging="360"/>
      </w:pPr>
      <w:r>
        <w:rPr>
          <w:sz w:val="20"/>
        </w:rPr>
        <w:t xml:space="preserve">101. </w:t>
      </w:r>
      <w:r>
        <w:rPr>
          <w:b/>
          <w:sz w:val="20"/>
        </w:rPr>
        <w:t>Documented testimony containing recollections; Inferred interpretation of community care:</w:t>
      </w:r>
      <w:r>
        <w:rPr>
          <w:sz w:val="20"/>
        </w:rPr>
        <w:t xml:space="preserve"> same case, Paul Thomas, p. 6, </w:t>
      </w:r>
      <w:hyperlink r:id="rId21">
        <w:r>
          <w:rPr>
            <w:color w:val="000000"/>
            <w:u w:val="single"/>
            <w:sz w:val="20"/>
          </w:rPr>
          <w:t>IMG_0559</w:t>
        </w:r>
      </w:hyperlink>
      <w:r>
        <w:rPr>
          <w:sz w:val="20"/>
        </w:rPr>
        <w:t xml:space="preserve">; Moore Sr., p. 2, </w:t>
      </w:r>
      <w:hyperlink r:id="rId17">
        <w:r>
          <w:rPr>
            <w:color w:val="000000"/>
            <w:u w:val="single"/>
            <w:sz w:val="20"/>
          </w:rPr>
          <w:t>IMG_0554</w:t>
        </w:r>
      </w:hyperlink>
      <w:r>
        <w:rPr>
          <w:sz w:val="20"/>
        </w:rPr>
        <w:t xml:space="preserve">; Rev. E. H. Dial, pp. 9–11, </w:t>
      </w:r>
      <w:hyperlink r:id="rId22">
        <w:r>
          <w:rPr>
            <w:color w:val="000000"/>
            <w:u w:val="single"/>
            <w:sz w:val="20"/>
          </w:rPr>
          <w:t>IMG_0563</w:t>
        </w:r>
      </w:hyperlink>
      <w:r>
        <w:rPr>
          <w:sz w:val="20"/>
        </w:rPr>
        <w:t xml:space="preserve">, </w:t>
      </w:r>
      <w:hyperlink r:id="rId23">
        <w:r>
          <w:rPr>
            <w:color w:val="000000"/>
            <w:u w:val="single"/>
            <w:sz w:val="20"/>
          </w:rPr>
          <w:t>IMG_0565</w:t>
        </w:r>
      </w:hyperlink>
      <w:r>
        <w:rPr>
          <w:sz w:val="20"/>
        </w:rPr>
        <w:t>. The unnamed relatives and the witnesses' stated activities are discussed in A place remembered. This passage does not identify the witnesses themselves as burials at Clift Station.</w:t>
      </w:r>
    </w:p>
    <w:p>
      <w:pPr>
        <w:spacing w:line="264" w:lineRule="auto" w:after="100"/>
        <w:ind w:left="360" w:hanging="360"/>
      </w:pPr>
      <w:r>
        <w:rPr>
          <w:sz w:val="20"/>
        </w:rPr>
        <w:t xml:space="preserve">102. </w:t>
      </w:r>
      <w:r>
        <w:rPr>
          <w:b/>
          <w:sz w:val="20"/>
        </w:rPr>
        <w:t>Reported contemporary appeal:</w:t>
      </w:r>
      <w:r>
        <w:rPr>
          <w:sz w:val="20"/>
        </w:rPr>
        <w:t xml:space="preserve"> “Confederate Survivor of Chickamauga,” “Neglected Graves,” </w:t>
      </w:r>
      <w:r>
        <w:rPr>
          <w:i/>
          <w:sz w:val="20"/>
        </w:rPr>
        <w:t>Virginia Medical Monthly</w:t>
      </w:r>
      <w:r>
        <w:rPr>
          <w:sz w:val="20"/>
        </w:rPr>
        <w:t xml:space="preserve"> 17, no. 5 (August 1890): 366–367, letter dated July 6, 1890, </w:t>
      </w:r>
      <w:hyperlink r:id="rId43">
        <w:r>
          <w:rPr>
            <w:color w:val="000000"/>
            <w:u w:val="single"/>
            <w:sz w:val="20"/>
          </w:rPr>
          <w:t>original volume</w:t>
        </w:r>
      </w:hyperlink>
      <w:r>
        <w:rPr>
          <w:sz w:val="20"/>
        </w:rPr>
        <w:t>. J. W. Fergusson &amp; Son were printers. The account reports plans, donations offered and earlier reinterments; it does not prove completion of the proposed fence or define the Confederate and Black burial grounds on a common survey.</w:t>
      </w:r>
    </w:p>
    <w:p>
      <w:pPr>
        <w:spacing w:line="264" w:lineRule="auto" w:after="100"/>
        <w:ind w:left="360" w:hanging="360"/>
      </w:pPr>
      <w:r>
        <w:rPr>
          <w:sz w:val="20"/>
        </w:rPr>
        <w:t xml:space="preserve">103. </w:t>
      </w:r>
      <w:r>
        <w:rPr>
          <w:b/>
          <w:sz w:val="20"/>
        </w:rPr>
        <w:t>Documented recommendations and survey limits:</w:t>
      </w:r>
      <w:r>
        <w:rPr>
          <w:sz w:val="20"/>
        </w:rPr>
        <w:t xml:space="preserve"> Natalie Robbins and James Zimmer-Dauphinee, Vanderbilt Spatial Analysis Research Laboratory, </w:t>
      </w:r>
      <w:r>
        <w:rPr>
          <w:i/>
          <w:sz w:val="20"/>
        </w:rPr>
        <w:t>Report of Findings: Lookout Mountain Cemetery Geophysical Survey</w:t>
      </w:r>
      <w:r>
        <w:rPr>
          <w:sz w:val="20"/>
        </w:rPr>
        <w:t xml:space="preserve">, September 30, 2021, pp. 19–20, including Map 2, </w:t>
      </w:r>
      <w:hyperlink r:id="rId96">
        <w:r>
          <w:rPr>
            <w:color w:val="000000"/>
            <w:u w:val="single"/>
            <w:sz w:val="20"/>
          </w:rPr>
          <w:t>original report</w:t>
        </w:r>
      </w:hyperlink>
      <w:r>
        <w:rPr>
          <w:sz w:val="20"/>
        </w:rPr>
        <w:t>. The report recommends non-invasive protection, signage and erosion control and labels its outline an estimated conservation boundary. It does not establish subsequent installation, legal parcel limits or complete grave locations.</w:t>
      </w:r>
    </w:p>
    <w:sectPr w:rsidR="00FC693F" w:rsidRPr="0006063C" w:rsidSect="00034616">
      <w:footerReference w:type="default" r:id="rId97"/>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4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Times New Roman" w:hAnsi="Times New Roman"/>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ive.google.com/file/d/18GQoBIjgAkB4TTt_i6t22SSx_LraQFql/view" TargetMode="External"/><Relationship Id="rId10" Type="http://schemas.openxmlformats.org/officeDocument/2006/relationships/hyperlink" Target="https://drive.google.com/file/d/1kmlpXlceJiE376miSA56s2jR3iha5YuY/view" TargetMode="External"/><Relationship Id="rId11" Type="http://schemas.openxmlformats.org/officeDocument/2006/relationships/hyperlink" Target="https://drive.google.com/file/d/1Q9txM_CeB5MOe3eYhYfdijBXRCWEYkOK/view" TargetMode="External"/><Relationship Id="rId12" Type="http://schemas.openxmlformats.org/officeDocument/2006/relationships/hyperlink" Target="https://drive.google.com/file/d/1soFm2511bFjHeYpCT69jy6oqDowha3Iw/view" TargetMode="External"/><Relationship Id="rId13" Type="http://schemas.openxmlformats.org/officeDocument/2006/relationships/hyperlink" Target="https://drive.google.com/file/d/1VKEWbGNjGnjMK7UlOz4qhjPJaRm1xXko/view" TargetMode="External"/><Relationship Id="rId14" Type="http://schemas.openxmlformats.org/officeDocument/2006/relationships/hyperlink" Target="https://drive.google.com/file/d/1tz1m2ecZ-_Xn0-1c3j6uqzUaFtGuUAw5/view" TargetMode="External"/><Relationship Id="rId15" Type="http://schemas.openxmlformats.org/officeDocument/2006/relationships/hyperlink" Target="https://drive.google.com/file/d/13jKmhuqInNZQcBusAG-z0sFWpqsSLWIH/view" TargetMode="External"/><Relationship Id="rId16" Type="http://schemas.openxmlformats.org/officeDocument/2006/relationships/hyperlink" Target="https://drive.google.com/file/d/1wkzpb8mScBzYddq2N0F5oI3HNudVO3Bb/view" TargetMode="External"/><Relationship Id="rId17" Type="http://schemas.openxmlformats.org/officeDocument/2006/relationships/hyperlink" Target="https://drive.google.com/file/d/18U86F3UnQgZRGrdFwYghYVSeh42c_NfJ/view" TargetMode="External"/><Relationship Id="rId18" Type="http://schemas.openxmlformats.org/officeDocument/2006/relationships/hyperlink" Target="https://drive.google.com/file/d/14tQHFateCvmulNicKu5zBkmYu9nHOnqr/view" TargetMode="External"/><Relationship Id="rId19" Type="http://schemas.openxmlformats.org/officeDocument/2006/relationships/hyperlink" Target="https://drive.google.com/file/d/1BkdJhbCMxQFez0BRr2j0m20ePcbUkY1G/view" TargetMode="External"/><Relationship Id="rId20" Type="http://schemas.openxmlformats.org/officeDocument/2006/relationships/hyperlink" Target="https://drive.google.com/file/d/1_7krOksi6gGFL4aTgswl_9q4j8qlr93A/view" TargetMode="External"/><Relationship Id="rId21" Type="http://schemas.openxmlformats.org/officeDocument/2006/relationships/hyperlink" Target="https://drive.google.com/file/d/1T13hKxXqNTpGYnSCGcQQ-GAx6_MI38fj/view" TargetMode="External"/><Relationship Id="rId22" Type="http://schemas.openxmlformats.org/officeDocument/2006/relationships/hyperlink" Target="https://drive.google.com/file/d/1wdAMVe5ak3fWav6p5BHEXWAmeQh-Nv6V/view" TargetMode="External"/><Relationship Id="rId23" Type="http://schemas.openxmlformats.org/officeDocument/2006/relationships/hyperlink" Target="https://drive.google.com/file/d/1mAzD-B6zCkq2qTIO1XNxJ_T361CjUMnm/view" TargetMode="External"/><Relationship Id="rId24" Type="http://schemas.openxmlformats.org/officeDocument/2006/relationships/hyperlink" Target="https://drive.google.com/file/d/1nowGhfF0as-SjG_zTSq3_MP0CIpznsBc/view" TargetMode="External"/><Relationship Id="rId25" Type="http://schemas.openxmlformats.org/officeDocument/2006/relationships/hyperlink" Target="https://drive.google.com/file/d/1BNtfva_awZzJi_0giXobI5j38yLY9x6M/view" TargetMode="External"/><Relationship Id="rId26" Type="http://schemas.openxmlformats.org/officeDocument/2006/relationships/hyperlink" Target="https://drive.google.com/file/d/1vGpD3yOTJ4SisjY0qo1zFiYVf8GaeBcs/view" TargetMode="External"/><Relationship Id="rId27" Type="http://schemas.openxmlformats.org/officeDocument/2006/relationships/hyperlink" Target="https://drive.google.com/file/d/1-r40FCLpiwtxpGPV5xOseOgcQCDJutZr/view" TargetMode="External"/><Relationship Id="rId28" Type="http://schemas.openxmlformats.org/officeDocument/2006/relationships/hyperlink" Target="https://drive.google.com/file/d/1SuAJtxe57Xjsr7bC88ArrsokOx0Cw91Y/view" TargetMode="External"/><Relationship Id="rId29" Type="http://schemas.openxmlformats.org/officeDocument/2006/relationships/hyperlink" Target="https://chattanooga.advantage-preservation.com/viewer/GetPdfFile?74159525" TargetMode="External"/><Relationship Id="rId30" Type="http://schemas.openxmlformats.org/officeDocument/2006/relationships/hyperlink" Target="https://drive.google.com/file/d/15leGyz6VW9ZNS25Sor3QVXT_sa0aYXHN/view" TargetMode="External"/><Relationship Id="rId31" Type="http://schemas.openxmlformats.org/officeDocument/2006/relationships/hyperlink" Target="https://drive.google.com/file/d/1Ddh0H9YDwFQJW9adchkHW97vhNy5O_OL/view" TargetMode="External"/><Relationship Id="rId32" Type="http://schemas.openxmlformats.org/officeDocument/2006/relationships/hyperlink" Target="https://drive.google.com/file/d/1VeF7NlITyvUr4ShzJ-Vahvso4XIJvg_8/view" TargetMode="External"/><Relationship Id="rId33" Type="http://schemas.openxmlformats.org/officeDocument/2006/relationships/hyperlink" Target="https://drive.google.com/file/d/1bPP8U_-ol9seZO3a-tF9TieiEtkT_OeZ/view" TargetMode="External"/><Relationship Id="rId34" Type="http://schemas.openxmlformats.org/officeDocument/2006/relationships/hyperlink" Target="https://drive.google.com/file/d/1qG_GQTlz5qgUJKGyMU_5zKRYcrm11FcB/view" TargetMode="External"/><Relationship Id="rId35" Type="http://schemas.openxmlformats.org/officeDocument/2006/relationships/hyperlink" Target="https://catalog.hathitrust.org/Record/102728323" TargetMode="External"/><Relationship Id="rId36" Type="http://schemas.openxmlformats.org/officeDocument/2006/relationships/hyperlink" Target="https://babel.hathitrust.org/cgi/pt?id=hvd.hn4hhd&amp;seq=7" TargetMode="External"/><Relationship Id="rId37" Type="http://schemas.openxmlformats.org/officeDocument/2006/relationships/hyperlink" Target="https://babel.hathitrust.org/cgi/pt?id=hvd.hn4hhd&amp;seq=65" TargetMode="External"/><Relationship Id="rId38" Type="http://schemas.openxmlformats.org/officeDocument/2006/relationships/hyperlink" Target="https://babel.hathitrust.org/cgi/pt?id=hvd.hn4hhd&amp;seq=1059" TargetMode="External"/><Relationship Id="rId39" Type="http://schemas.openxmlformats.org/officeDocument/2006/relationships/hyperlink" Target="https://drive.google.com/file/d/1ZWjgOq20LPfiE9AkPIEN-kUPctEWcunh/view" TargetMode="External"/><Relationship Id="rId40" Type="http://schemas.openxmlformats.org/officeDocument/2006/relationships/hyperlink" Target="https://archive.org/details/virginiamedicalm1718medi" TargetMode="External"/><Relationship Id="rId41" Type="http://schemas.openxmlformats.org/officeDocument/2006/relationships/hyperlink" Target="https://chattanooga.advantage-preservation.com/viewer/GetPdfFile?74161720" TargetMode="External"/><Relationship Id="rId42" Type="http://schemas.openxmlformats.org/officeDocument/2006/relationships/hyperlink" Target="https://chattanoogahistory.com/plats1889" TargetMode="External"/><Relationship Id="rId43" Type="http://schemas.openxmlformats.org/officeDocument/2006/relationships/hyperlink" Target="https://archive.org/details/virginiamedicalm1718medi/page/366/mode/2up" TargetMode="External"/><Relationship Id="rId44" Type="http://schemas.openxmlformats.org/officeDocument/2006/relationships/hyperlink" Target="https://schafluetzel.org/Chattanooga%24/PDFs/1889%20Chattanooga%20Chamber%20of%20Commerce%20Report.pdf" TargetMode="External"/><Relationship Id="rId45" Type="http://schemas.openxmlformats.org/officeDocument/2006/relationships/hyperlink" Target="https://chattanooga.advantage-preservation.com/viewer/GetPdfFile?74165533" TargetMode="External"/><Relationship Id="rId46" Type="http://schemas.openxmlformats.org/officeDocument/2006/relationships/hyperlink" Target="https://chattanooga.advantage-preservation.com/viewer/GetPdfFile?74166486" TargetMode="External"/><Relationship Id="rId47" Type="http://schemas.openxmlformats.org/officeDocument/2006/relationships/hyperlink" Target="https://archive.org/details/confederateveter22conf/page/61/mode/2up" TargetMode="External"/><Relationship Id="rId48" Type="http://schemas.openxmlformats.org/officeDocument/2006/relationships/hyperlink" Target="https://drive.google.com/file/d/1B8kmJu-LG9F_mIGxQkqq8RAPngDwXlRP/view" TargetMode="External"/><Relationship Id="rId49" Type="http://schemas.openxmlformats.org/officeDocument/2006/relationships/hyperlink" Target="https://drive.google.com/file/d/16bpyrzcd-euhW4FP9vmGhrezJacaZYPS/view" TargetMode="External"/><Relationship Id="rId50" Type="http://schemas.openxmlformats.org/officeDocument/2006/relationships/hyperlink" Target="https://drive.google.com/file/d/1girZ5de4hmPwvChvDo0M0CSbV4q2gww0/view" TargetMode="External"/><Relationship Id="rId51" Type="http://schemas.openxmlformats.org/officeDocument/2006/relationships/hyperlink" Target="https://drive.google.com/file/d/1cxx1JoqXWB-C62gSVb04ZN2jXoPQ5shc/view" TargetMode="External"/><Relationship Id="rId52" Type="http://schemas.openxmlformats.org/officeDocument/2006/relationships/hyperlink" Target="https://drive.google.com/file/d/1ZYA06pIAo1V-sTwDp6IHqhv_YoXTZOfl/view" TargetMode="External"/><Relationship Id="rId53" Type="http://schemas.openxmlformats.org/officeDocument/2006/relationships/hyperlink" Target="https://drive.google.com/file/d/1cwzuJMuTnScVU_V5BdiRYs4LQAUI0GHo/view" TargetMode="External"/><Relationship Id="rId54" Type="http://schemas.openxmlformats.org/officeDocument/2006/relationships/hyperlink" Target="https://drive.google.com/file/d/1AuS8tGu8NaG-kFHhT5P5s4MyHPFVKDx-/view" TargetMode="External"/><Relationship Id="rId55" Type="http://schemas.openxmlformats.org/officeDocument/2006/relationships/hyperlink" Target="https://static.case.law/tenn/93/case-pdfs/0691-01.pdf" TargetMode="External"/><Relationship Id="rId56" Type="http://schemas.openxmlformats.org/officeDocument/2006/relationships/hyperlink" Target="https://drive.google.com/file/d/1tDPa8ly0R8-TkDYivq5Su5nML7VqokPD/view" TargetMode="External"/><Relationship Id="rId57" Type="http://schemas.openxmlformats.org/officeDocument/2006/relationships/hyperlink" Target="https://drive.google.com/file/d/1mvLgP2SWJEtqwWpTgNXRCpBZtOKczosP/view" TargetMode="External"/><Relationship Id="rId58" Type="http://schemas.openxmlformats.org/officeDocument/2006/relationships/hyperlink" Target="https://drive.google.com/file/d/11O4vm0IgCjqd7lvbqusbLTldvVCGC5Kw/view" TargetMode="External"/><Relationship Id="rId59" Type="http://schemas.openxmlformats.org/officeDocument/2006/relationships/hyperlink" Target="https://drive.google.com/file/d/1_BSyJogBiTkxwNiY9aEpOoDUREhSB68y/view" TargetMode="External"/><Relationship Id="rId60" Type="http://schemas.openxmlformats.org/officeDocument/2006/relationships/hyperlink" Target="https://drive.google.com/file/d/1wET-YNUfNPP1GqJFuZRMN2Zz2T4H-hW-/view" TargetMode="External"/><Relationship Id="rId61" Type="http://schemas.openxmlformats.org/officeDocument/2006/relationships/hyperlink" Target="https://drive.google.com/file/d/1R82QZH6qx1_7genTMMylD6Ipz2YuglyN/view" TargetMode="External"/><Relationship Id="rId62" Type="http://schemas.openxmlformats.org/officeDocument/2006/relationships/hyperlink" Target="https://drive.google.com/file/d/12Ns8FlUcrWGdLgu65u08MSabEgQA-Ee-/view" TargetMode="External"/><Relationship Id="rId63" Type="http://schemas.openxmlformats.org/officeDocument/2006/relationships/hyperlink" Target="https://drive.google.com/file/d/1HykInKyAwlyvdByFd6cXkf8r5c0xa5gv/view" TargetMode="External"/><Relationship Id="rId64" Type="http://schemas.openxmlformats.org/officeDocument/2006/relationships/hyperlink" Target="https://drive.google.com/file/d/1RjKafXqb3zthFrKl5wJGraPWKNVuq3MU/view" TargetMode="External"/><Relationship Id="rId65" Type="http://schemas.openxmlformats.org/officeDocument/2006/relationships/hyperlink" Target="https://drive.google.com/file/d/1AElX7kxESshnnuREbOJahBbIEzznWWN6/view" TargetMode="External"/><Relationship Id="rId66" Type="http://schemas.openxmlformats.org/officeDocument/2006/relationships/hyperlink" Target="https://drive.google.com/file/d/1tEQPaHp1c--ppvdumrWmufIpk1koSAE4/view" TargetMode="External"/><Relationship Id="rId67" Type="http://schemas.openxmlformats.org/officeDocument/2006/relationships/hyperlink" Target="https://drive.google.com/file/d/1ivNqslENVhQ_2K4Gq-8DKCt_EM80u7Hx/view" TargetMode="External"/><Relationship Id="rId68" Type="http://schemas.openxmlformats.org/officeDocument/2006/relationships/hyperlink" Target="https://drive.google.com/file/d/1DxHakjK2plHCdshPt6ONFMtYwHjHGp9z/view" TargetMode="External"/><Relationship Id="rId69" Type="http://schemas.openxmlformats.org/officeDocument/2006/relationships/hyperlink" Target="https://drive.google.com/file/d/1k-w-8biuAwQhp8m1cH1qV3c1bk7K2LUo/view" TargetMode="External"/><Relationship Id="rId70" Type="http://schemas.openxmlformats.org/officeDocument/2006/relationships/hyperlink" Target="https://tslaindexes.tnsos.gov/node/197996" TargetMode="External"/><Relationship Id="rId71" Type="http://schemas.openxmlformats.org/officeDocument/2006/relationships/hyperlink" Target="https://tslaindexes.tnsos.gov/node/168556" TargetMode="External"/><Relationship Id="rId72" Type="http://schemas.openxmlformats.org/officeDocument/2006/relationships/hyperlink" Target="https://babel.hathitrust.org/cgi/pt?id=mdp. 39015026253479&amp;seq=37" TargetMode="External"/><Relationship Id="rId73" Type="http://schemas.openxmlformats.org/officeDocument/2006/relationships/hyperlink" Target="https://babel.hathitrust.org/cgi/pt?id=mdp. 39015026253479&amp;seq=155" TargetMode="External"/><Relationship Id="rId74" Type="http://schemas.openxmlformats.org/officeDocument/2006/relationships/hyperlink" Target="https://www.tngenweb.org/hamilton/churches.htm" TargetMode="External"/><Relationship Id="rId75" Type="http://schemas.openxmlformats.org/officeDocument/2006/relationships/hyperlink" Target="https://babel.hathitrust.org/cgi/pt?id=mdp. 39015026253479&amp;seq=3" TargetMode="External"/><Relationship Id="rId76" Type="http://schemas.openxmlformats.org/officeDocument/2006/relationships/hyperlink" Target="https://babel.hathitrust.org/cgi/pt?id=mdp. 39015026253479&amp;seq=5" TargetMode="External"/><Relationship Id="rId77" Type="http://schemas.openxmlformats.org/officeDocument/2006/relationships/hyperlink" Target="https://babel.hathitrust.org/cgi/pt?id=mdp. 39015026253479&amp;seq=7" TargetMode="External"/><Relationship Id="rId78" Type="http://schemas.openxmlformats.org/officeDocument/2006/relationships/hyperlink" Target="https://babel.hathitrust.org/cgi/pt?id=mdp. 39015026253479&amp;seq=9" TargetMode="External"/><Relationship Id="rId79" Type="http://schemas.openxmlformats.org/officeDocument/2006/relationships/hyperlink" Target="https://s3.amazonaws.com/media2.sbhla.org/aaa/nbc/NBC_1926.pdf" TargetMode="External"/><Relationship Id="rId80" Type="http://schemas.openxmlformats.org/officeDocument/2006/relationships/hyperlink" Target="https://s3.amazonaws.com/media2.sbhla.org/aaa/nbc/NBC_1927.pdf" TargetMode="External"/><Relationship Id="rId81" Type="http://schemas.openxmlformats.org/officeDocument/2006/relationships/hyperlink" Target="https://s3.amazonaws.com/media2.sbhla.org/aaa/nbc/NBC_1936.pdf" TargetMode="External"/><Relationship Id="rId82" Type="http://schemas.openxmlformats.org/officeDocument/2006/relationships/hyperlink" Target="https://s3.amazonaws.com/media2.sbhla.org/aaa/nbc/NBC_1940.pdf" TargetMode="External"/><Relationship Id="rId83" Type="http://schemas.openxmlformats.org/officeDocument/2006/relationships/hyperlink" Target="https://babel.hathitrust.org/cgi/pt?id=mdp. 39015026253479&amp;seq=35" TargetMode="External"/><Relationship Id="rId84" Type="http://schemas.openxmlformats.org/officeDocument/2006/relationships/hyperlink" Target="https://www.tngennet.org/hamilton/churches.htm" TargetMode="External"/><Relationship Id="rId85" Type="http://schemas.openxmlformats.org/officeDocument/2006/relationships/hyperlink" Target="https://portal.covenant.edu/scots/campus/banner/pdf/archive/studev_student_handbook-old.pdf" TargetMode="External"/><Relationship Id="rId86" Type="http://schemas.openxmlformats.org/officeDocument/2006/relationships/hyperlink" Target="https://babel.hathitrust.org/cgi/pt?id=hvd.hn4hul&amp;seq=20" TargetMode="External"/><Relationship Id="rId87" Type="http://schemas.openxmlformats.org/officeDocument/2006/relationships/hyperlink" Target="https://babel.hathitrust.org/cgi/pt?id=hvd.hn4hul&amp;seq=22" TargetMode="External"/><Relationship Id="rId88" Type="http://schemas.openxmlformats.org/officeDocument/2006/relationships/hyperlink" Target="https://babel.hathitrust.org/cgi/pt?id=hvd.hn4hul&amp;seq=23" TargetMode="External"/><Relationship Id="rId89" Type="http://schemas.openxmlformats.org/officeDocument/2006/relationships/hyperlink" Target="https://babel.hathitrust.org/cgi/pt?id=hvd.hn4hhd&amp;seq=16" TargetMode="External"/><Relationship Id="rId90" Type="http://schemas.openxmlformats.org/officeDocument/2006/relationships/hyperlink" Target="https://babel.hathitrust.org/cgi/pt?id=hvd.hn4hhd&amp;seq=17" TargetMode="External"/><Relationship Id="rId91" Type="http://schemas.openxmlformats.org/officeDocument/2006/relationships/hyperlink" Target="https://babel.hathitrust.org/cgi/pt?id=hvd.hn4hhd&amp;seq=135" TargetMode="External"/><Relationship Id="rId92" Type="http://schemas.openxmlformats.org/officeDocument/2006/relationships/hyperlink" Target="https://babel.hathitrust.org/cgi/pt?id=hvd.hn4hhd&amp;seq=543" TargetMode="External"/><Relationship Id="rId93" Type="http://schemas.openxmlformats.org/officeDocument/2006/relationships/hyperlink" Target="https://babel.hathitrust.org/cgi/pt?id=hvd.hn4hhd&amp;seq=905" TargetMode="External"/><Relationship Id="rId94" Type="http://schemas.openxmlformats.org/officeDocument/2006/relationships/hyperlink" Target="https://babel.hathitrust.org/cgi/pt?id=mdp. 39015026253479&amp;seq=27" TargetMode="External"/><Relationship Id="rId95" Type="http://schemas.openxmlformats.org/officeDocument/2006/relationships/hyperlink" Target="https://uniongrovechurch.org/about-us" TargetMode="External"/><Relationship Id="rId96" Type="http://schemas.openxmlformats.org/officeDocument/2006/relationships/hyperlink" Target="https://drive.google.com/file/d/1Vi0DEZ0MIsc3IVjfjGiFCUSUnVDQmAFz/view" TargetMode="External"/><Relationship Id="rId9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Clift Station Cemetery in the Court Land and Cemetery Records</dc:title>
  <dc:subject>Narrative manuscript excerpt on the burial dispute, land history and later cemetery survey</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